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6.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7A44" w:rsidRPr="004676B6" w:rsidRDefault="00FE34C6" w:rsidP="00A47A44">
      <w:pPr>
        <w:shd w:val="clear" w:color="auto" w:fill="FFFFFF"/>
        <w:spacing w:before="240" w:line="240" w:lineRule="auto"/>
        <w:rPr>
          <w:rFonts w:ascii="Times New Roman" w:eastAsia="Times New Roman" w:hAnsi="Times New Roman" w:cs="Times New Roman"/>
          <w:b/>
          <w:bCs/>
          <w:color w:val="2F2F2F"/>
          <w:sz w:val="24"/>
          <w:szCs w:val="24"/>
        </w:rPr>
      </w:pPr>
      <w:r>
        <w:rPr>
          <w:rFonts w:ascii="Times New Roman" w:eastAsia="Times New Roman" w:hAnsi="Times New Roman" w:cs="Times New Roman"/>
          <w:b/>
          <w:bCs/>
          <w:noProof/>
          <w:color w:val="2F2F2F"/>
          <w:sz w:val="24"/>
          <w:szCs w:val="24"/>
          <w:lang w:val="ru-RU" w:eastAsia="ru-RU"/>
        </w:rPr>
        <w:drawing>
          <wp:anchor distT="0" distB="0" distL="114300" distR="114300" simplePos="0" relativeHeight="251659264" behindDoc="1" locked="0" layoutInCell="1" allowOverlap="1" wp14:anchorId="31FB55CB" wp14:editId="12171A13">
            <wp:simplePos x="0" y="0"/>
            <wp:positionH relativeFrom="column">
              <wp:posOffset>3875405</wp:posOffset>
            </wp:positionH>
            <wp:positionV relativeFrom="paragraph">
              <wp:posOffset>5080</wp:posOffset>
            </wp:positionV>
            <wp:extent cx="2143125" cy="554355"/>
            <wp:effectExtent l="0" t="0" r="9525" b="0"/>
            <wp:wrapTight wrapText="bothSides">
              <wp:wrapPolygon edited="0">
                <wp:start x="384" y="0"/>
                <wp:lineTo x="0" y="3711"/>
                <wp:lineTo x="0" y="13361"/>
                <wp:lineTo x="5952" y="20784"/>
                <wp:lineTo x="6912" y="20784"/>
                <wp:lineTo x="8640" y="20784"/>
                <wp:lineTo x="21504" y="20041"/>
                <wp:lineTo x="21504" y="6680"/>
                <wp:lineTo x="13056" y="0"/>
                <wp:lineTo x="384" y="0"/>
              </wp:wrapPolygon>
            </wp:wrapTight>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554355"/>
                    </a:xfrm>
                    <a:prstGeom prst="rect">
                      <a:avLst/>
                    </a:prstGeom>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61312" behindDoc="1" locked="0" layoutInCell="1" allowOverlap="1" wp14:anchorId="3FC0F988" wp14:editId="6931AE5F">
            <wp:simplePos x="0" y="0"/>
            <wp:positionH relativeFrom="margin">
              <wp:posOffset>-258318</wp:posOffset>
            </wp:positionH>
            <wp:positionV relativeFrom="paragraph">
              <wp:posOffset>254</wp:posOffset>
            </wp:positionV>
            <wp:extent cx="2108200" cy="652780"/>
            <wp:effectExtent l="0" t="0" r="6350" b="0"/>
            <wp:wrapThrough wrapText="bothSides">
              <wp:wrapPolygon edited="0">
                <wp:start x="1366" y="0"/>
                <wp:lineTo x="0" y="4412"/>
                <wp:lineTo x="0" y="15759"/>
                <wp:lineTo x="976" y="20171"/>
                <wp:lineTo x="1366" y="20802"/>
                <wp:lineTo x="3904" y="20802"/>
                <wp:lineTo x="4294" y="20171"/>
                <wp:lineTo x="21470" y="15128"/>
                <wp:lineTo x="21275" y="4412"/>
                <wp:lineTo x="3904" y="0"/>
                <wp:lineTo x="1366" y="0"/>
              </wp:wrapPolygon>
            </wp:wrapThrough>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108200" cy="652780"/>
                    </a:xfrm>
                    <a:prstGeom prst="rect">
                      <a:avLst/>
                    </a:prstGeom>
                  </pic:spPr>
                </pic:pic>
              </a:graphicData>
            </a:graphic>
          </wp:anchor>
        </w:drawing>
      </w:r>
      <w:r w:rsidR="008471C0">
        <w:rPr>
          <w:rFonts w:ascii="Times New Roman" w:eastAsia="Times New Roman" w:hAnsi="Times New Roman" w:cs="Times New Roman"/>
          <w:b/>
          <w:bCs/>
          <w:color w:val="2F2F2F"/>
          <w:sz w:val="24"/>
          <w:szCs w:val="24"/>
          <w:lang w:val="ru-RU"/>
        </w:rPr>
        <w:t>Ё</w:t>
      </w:r>
      <w:r w:rsidR="008471C0" w:rsidRPr="004676B6">
        <w:rPr>
          <w:rFonts w:ascii="Times New Roman" w:eastAsia="Times New Roman" w:hAnsi="Times New Roman" w:cs="Times New Roman"/>
          <w:b/>
          <w:bCs/>
          <w:color w:val="2F2F2F"/>
          <w:sz w:val="24"/>
          <w:szCs w:val="24"/>
        </w:rPr>
        <w:tab/>
      </w:r>
      <w:r w:rsidR="008471C0">
        <w:rPr>
          <w:rFonts w:ascii="Times New Roman" w:eastAsia="Times New Roman" w:hAnsi="Times New Roman" w:cs="Times New Roman"/>
          <w:b/>
          <w:bCs/>
          <w:color w:val="2F2F2F"/>
          <w:sz w:val="24"/>
          <w:szCs w:val="24"/>
          <w:lang w:val="ru-RU"/>
        </w:rPr>
        <w:t>Й</w:t>
      </w:r>
      <w:r w:rsidR="008471C0" w:rsidRPr="004676B6">
        <w:rPr>
          <w:rFonts w:ascii="Times New Roman" w:eastAsia="Times New Roman" w:hAnsi="Times New Roman" w:cs="Times New Roman"/>
          <w:b/>
          <w:bCs/>
          <w:color w:val="2F2F2F"/>
          <w:sz w:val="24"/>
          <w:szCs w:val="24"/>
        </w:rPr>
        <w:t>1263</w:t>
      </w:r>
      <w:r w:rsidR="008471C0">
        <w:rPr>
          <w:rFonts w:ascii="Times New Roman" w:eastAsia="Times New Roman" w:hAnsi="Times New Roman" w:cs="Times New Roman"/>
          <w:b/>
          <w:bCs/>
          <w:color w:val="2F2F2F"/>
          <w:sz w:val="24"/>
          <w:szCs w:val="24"/>
          <w:lang w:val="ru-RU"/>
        </w:rPr>
        <w:t>Н</w:t>
      </w:r>
      <w:r w:rsidR="008471C0" w:rsidRPr="004676B6">
        <w:rPr>
          <w:rFonts w:ascii="Times New Roman" w:eastAsia="Times New Roman" w:hAnsi="Times New Roman" w:cs="Times New Roman"/>
          <w:b/>
          <w:bCs/>
          <w:color w:val="2F2F2F"/>
          <w:sz w:val="24"/>
          <w:szCs w:val="24"/>
        </w:rPr>
        <w:t>7</w:t>
      </w:r>
      <w:r w:rsidR="008471C0">
        <w:rPr>
          <w:rFonts w:ascii="Times New Roman" w:eastAsia="Times New Roman" w:hAnsi="Times New Roman" w:cs="Times New Roman"/>
          <w:b/>
          <w:bCs/>
          <w:color w:val="2F2F2F"/>
          <w:sz w:val="24"/>
          <w:szCs w:val="24"/>
          <w:lang w:val="ru-RU"/>
        </w:rPr>
        <w:t>А</w:t>
      </w:r>
      <w:r w:rsidR="008471C0" w:rsidRPr="004676B6">
        <w:rPr>
          <w:rFonts w:ascii="Times New Roman" w:eastAsia="Times New Roman" w:hAnsi="Times New Roman" w:cs="Times New Roman"/>
          <w:b/>
          <w:bCs/>
          <w:color w:val="2F2F2F"/>
          <w:sz w:val="24"/>
          <w:szCs w:val="24"/>
        </w:rPr>
        <w:t>458</w:t>
      </w:r>
      <w:r w:rsidR="008471C0">
        <w:rPr>
          <w:rFonts w:ascii="Times New Roman" w:eastAsia="Times New Roman" w:hAnsi="Times New Roman" w:cs="Times New Roman"/>
          <w:b/>
          <w:bCs/>
          <w:color w:val="2F2F2F"/>
          <w:sz w:val="24"/>
          <w:szCs w:val="24"/>
          <w:lang w:val="ru-RU"/>
        </w:rPr>
        <w:t>ПР</w:t>
      </w:r>
      <w:r w:rsidR="008471C0" w:rsidRPr="004676B6">
        <w:rPr>
          <w:rFonts w:ascii="Times New Roman" w:eastAsia="Times New Roman" w:hAnsi="Times New Roman" w:cs="Times New Roman"/>
          <w:b/>
          <w:bCs/>
          <w:color w:val="2F2F2F"/>
          <w:sz w:val="24"/>
          <w:szCs w:val="24"/>
        </w:rPr>
        <w:t>69</w:t>
      </w:r>
    </w:p>
    <w:p w:rsidR="00A47A44" w:rsidRPr="004676B6" w:rsidRDefault="00A47A44" w:rsidP="00A47A44">
      <w:pPr>
        <w:shd w:val="clear" w:color="auto" w:fill="FFFFFF"/>
        <w:spacing w:before="240" w:line="240" w:lineRule="auto"/>
        <w:rPr>
          <w:rFonts w:ascii="Times New Roman" w:eastAsia="Times New Roman" w:hAnsi="Times New Roman" w:cs="Times New Roman"/>
          <w:b/>
          <w:bCs/>
          <w:color w:val="2F2F2F"/>
          <w:sz w:val="24"/>
          <w:szCs w:val="24"/>
        </w:rPr>
      </w:pPr>
    </w:p>
    <w:p w:rsidR="00C56F9C" w:rsidRPr="00C56F9C" w:rsidRDefault="00C56F9C" w:rsidP="00C56F9C">
      <w:pPr>
        <w:shd w:val="clear" w:color="auto" w:fill="FFFFFF"/>
        <w:spacing w:after="0" w:line="240" w:lineRule="auto"/>
        <w:jc w:val="right"/>
        <w:rPr>
          <w:rFonts w:ascii="Times New Roman" w:eastAsia="Times New Roman" w:hAnsi="Times New Roman" w:cs="Times New Roman"/>
          <w:b/>
          <w:bCs/>
          <w:color w:val="2F2F2F"/>
          <w:szCs w:val="48"/>
        </w:rPr>
      </w:pPr>
      <w:proofErr w:type="spellStart"/>
      <w:r w:rsidRPr="00C56F9C">
        <w:rPr>
          <w:rFonts w:ascii="Times New Roman" w:eastAsia="Times New Roman" w:hAnsi="Times New Roman" w:cs="Times New Roman"/>
          <w:b/>
          <w:bCs/>
          <w:color w:val="2F2F2F"/>
          <w:szCs w:val="48"/>
        </w:rPr>
        <w:t>Aprobat</w:t>
      </w:r>
      <w:proofErr w:type="spellEnd"/>
    </w:p>
    <w:p w:rsidR="00C56F9C" w:rsidRDefault="00C56F9C" w:rsidP="00C56F9C">
      <w:pPr>
        <w:shd w:val="clear" w:color="auto" w:fill="FFFFFF"/>
        <w:spacing w:after="0" w:line="240" w:lineRule="auto"/>
        <w:jc w:val="right"/>
        <w:rPr>
          <w:rFonts w:ascii="Times New Roman" w:eastAsia="Times New Roman" w:hAnsi="Times New Roman" w:cs="Times New Roman"/>
          <w:b/>
          <w:bCs/>
          <w:color w:val="2F2F2F"/>
          <w:szCs w:val="48"/>
        </w:rPr>
      </w:pPr>
      <w:proofErr w:type="spellStart"/>
      <w:r w:rsidRPr="00C56F9C">
        <w:rPr>
          <w:rFonts w:ascii="Times New Roman" w:eastAsia="Times New Roman" w:hAnsi="Times New Roman" w:cs="Times New Roman"/>
          <w:b/>
          <w:bCs/>
          <w:color w:val="2F2F2F"/>
          <w:szCs w:val="48"/>
        </w:rPr>
        <w:t>prin</w:t>
      </w:r>
      <w:proofErr w:type="spellEnd"/>
      <w:r w:rsidRPr="00C56F9C">
        <w:rPr>
          <w:rFonts w:ascii="Times New Roman" w:eastAsia="Times New Roman" w:hAnsi="Times New Roman" w:cs="Times New Roman"/>
          <w:b/>
          <w:bCs/>
          <w:color w:val="2F2F2F"/>
          <w:szCs w:val="48"/>
        </w:rPr>
        <w:t xml:space="preserve"> </w:t>
      </w:r>
      <w:proofErr w:type="spellStart"/>
      <w:r w:rsidRPr="00C56F9C">
        <w:rPr>
          <w:rFonts w:ascii="Times New Roman" w:eastAsia="Times New Roman" w:hAnsi="Times New Roman" w:cs="Times New Roman"/>
          <w:b/>
          <w:bCs/>
          <w:color w:val="2F2F2F"/>
          <w:szCs w:val="48"/>
        </w:rPr>
        <w:t>Decizia</w:t>
      </w:r>
      <w:proofErr w:type="spellEnd"/>
      <w:r w:rsidRPr="00C56F9C">
        <w:rPr>
          <w:rFonts w:ascii="Times New Roman" w:eastAsia="Times New Roman" w:hAnsi="Times New Roman" w:cs="Times New Roman"/>
          <w:b/>
          <w:bCs/>
          <w:color w:val="2F2F2F"/>
          <w:szCs w:val="48"/>
        </w:rPr>
        <w:t xml:space="preserve"> </w:t>
      </w:r>
      <w:proofErr w:type="spellStart"/>
      <w:r w:rsidRPr="00C56F9C">
        <w:rPr>
          <w:rFonts w:ascii="Times New Roman" w:eastAsia="Times New Roman" w:hAnsi="Times New Roman" w:cs="Times New Roman"/>
          <w:b/>
          <w:bCs/>
          <w:color w:val="2F2F2F"/>
          <w:szCs w:val="48"/>
        </w:rPr>
        <w:t>Consiliului</w:t>
      </w:r>
      <w:proofErr w:type="spellEnd"/>
      <w:r w:rsidRPr="00C56F9C">
        <w:rPr>
          <w:rFonts w:ascii="Times New Roman" w:eastAsia="Times New Roman" w:hAnsi="Times New Roman" w:cs="Times New Roman"/>
          <w:b/>
          <w:bCs/>
          <w:color w:val="2F2F2F"/>
          <w:szCs w:val="48"/>
        </w:rPr>
        <w:t xml:space="preserve"> </w:t>
      </w:r>
    </w:p>
    <w:p w:rsidR="00C56F9C" w:rsidRDefault="00C56F9C" w:rsidP="00C56F9C">
      <w:pPr>
        <w:shd w:val="clear" w:color="auto" w:fill="FFFFFF"/>
        <w:spacing w:after="0" w:line="240" w:lineRule="auto"/>
        <w:jc w:val="right"/>
        <w:rPr>
          <w:rFonts w:ascii="Times New Roman" w:eastAsia="Times New Roman" w:hAnsi="Times New Roman" w:cs="Times New Roman"/>
          <w:b/>
          <w:bCs/>
          <w:color w:val="2F2F2F"/>
          <w:szCs w:val="48"/>
        </w:rPr>
      </w:pPr>
      <w:r>
        <w:rPr>
          <w:rFonts w:ascii="Times New Roman" w:eastAsia="Times New Roman" w:hAnsi="Times New Roman" w:cs="Times New Roman"/>
          <w:b/>
          <w:bCs/>
          <w:color w:val="2F2F2F"/>
          <w:szCs w:val="48"/>
        </w:rPr>
        <w:t>Regional</w:t>
      </w:r>
      <w:r w:rsidRPr="00F21932">
        <w:rPr>
          <w:rFonts w:ascii="Times New Roman" w:eastAsia="Times New Roman" w:hAnsi="Times New Roman" w:cs="Times New Roman"/>
          <w:b/>
          <w:bCs/>
          <w:color w:val="2F2F2F"/>
          <w:szCs w:val="48"/>
        </w:rPr>
        <w:t xml:space="preserve"> </w:t>
      </w:r>
      <w:proofErr w:type="spellStart"/>
      <w:r w:rsidRPr="00C56F9C">
        <w:rPr>
          <w:rFonts w:ascii="Times New Roman" w:eastAsia="Times New Roman" w:hAnsi="Times New Roman" w:cs="Times New Roman"/>
          <w:b/>
          <w:bCs/>
          <w:color w:val="2F2F2F"/>
          <w:szCs w:val="48"/>
        </w:rPr>
        <w:t>pentru</w:t>
      </w:r>
      <w:proofErr w:type="spellEnd"/>
      <w:r w:rsidRPr="00C56F9C">
        <w:rPr>
          <w:rFonts w:ascii="Times New Roman" w:eastAsia="Times New Roman" w:hAnsi="Times New Roman" w:cs="Times New Roman"/>
          <w:b/>
          <w:bCs/>
          <w:color w:val="2F2F2F"/>
          <w:szCs w:val="48"/>
        </w:rPr>
        <w:t xml:space="preserve"> </w:t>
      </w:r>
      <w:proofErr w:type="spellStart"/>
      <w:r w:rsidRPr="00C56F9C">
        <w:rPr>
          <w:rFonts w:ascii="Times New Roman" w:eastAsia="Times New Roman" w:hAnsi="Times New Roman" w:cs="Times New Roman"/>
          <w:b/>
          <w:bCs/>
          <w:color w:val="2F2F2F"/>
          <w:szCs w:val="48"/>
        </w:rPr>
        <w:t>Dezvoltare</w:t>
      </w:r>
      <w:proofErr w:type="spellEnd"/>
      <w:r w:rsidRPr="00C56F9C">
        <w:rPr>
          <w:rFonts w:ascii="Times New Roman" w:eastAsia="Times New Roman" w:hAnsi="Times New Roman" w:cs="Times New Roman"/>
          <w:b/>
          <w:bCs/>
          <w:color w:val="2F2F2F"/>
          <w:szCs w:val="48"/>
        </w:rPr>
        <w:t xml:space="preserve"> </w:t>
      </w:r>
    </w:p>
    <w:p w:rsidR="00C56F9C" w:rsidRPr="00C56F9C" w:rsidRDefault="00C56F9C" w:rsidP="00C56F9C">
      <w:pPr>
        <w:shd w:val="clear" w:color="auto" w:fill="FFFFFF"/>
        <w:spacing w:after="0" w:line="240" w:lineRule="auto"/>
        <w:jc w:val="right"/>
        <w:rPr>
          <w:rFonts w:ascii="Times New Roman" w:eastAsia="Times New Roman" w:hAnsi="Times New Roman" w:cs="Times New Roman"/>
          <w:b/>
          <w:bCs/>
          <w:color w:val="2F2F2F"/>
          <w:szCs w:val="48"/>
          <w:lang w:val="ro-MD"/>
        </w:rPr>
      </w:pPr>
      <w:r>
        <w:rPr>
          <w:rFonts w:ascii="Times New Roman" w:eastAsia="Times New Roman" w:hAnsi="Times New Roman" w:cs="Times New Roman"/>
          <w:b/>
          <w:bCs/>
          <w:color w:val="2F2F2F"/>
          <w:szCs w:val="48"/>
          <w:lang w:val="ro-MD"/>
        </w:rPr>
        <w:t>UTA Găgăuzia</w:t>
      </w:r>
    </w:p>
    <w:p w:rsidR="00A47A44" w:rsidRPr="004676B6" w:rsidRDefault="00C56F9C" w:rsidP="00C56F9C">
      <w:pPr>
        <w:shd w:val="clear" w:color="auto" w:fill="FFFFFF"/>
        <w:spacing w:after="0" w:line="240" w:lineRule="auto"/>
        <w:jc w:val="right"/>
        <w:rPr>
          <w:rFonts w:ascii="Times New Roman" w:eastAsia="Times New Roman" w:hAnsi="Times New Roman" w:cs="Times New Roman"/>
          <w:b/>
          <w:bCs/>
          <w:color w:val="2F2F2F"/>
          <w:szCs w:val="48"/>
        </w:rPr>
      </w:pPr>
      <w:r w:rsidRPr="00C56F9C">
        <w:rPr>
          <w:rFonts w:ascii="Times New Roman" w:eastAsia="Times New Roman" w:hAnsi="Times New Roman" w:cs="Times New Roman"/>
          <w:b/>
          <w:bCs/>
          <w:color w:val="2F2F2F"/>
          <w:szCs w:val="48"/>
        </w:rPr>
        <w:t>nr</w:t>
      </w:r>
      <w:r w:rsidRPr="004676B6">
        <w:rPr>
          <w:rFonts w:ascii="Times New Roman" w:eastAsia="Times New Roman" w:hAnsi="Times New Roman" w:cs="Times New Roman"/>
          <w:b/>
          <w:bCs/>
          <w:color w:val="2F2F2F"/>
          <w:szCs w:val="48"/>
        </w:rPr>
        <w:t xml:space="preserve">.__ </w:t>
      </w:r>
      <w:r w:rsidRPr="00C56F9C">
        <w:rPr>
          <w:rFonts w:ascii="Times New Roman" w:eastAsia="Times New Roman" w:hAnsi="Times New Roman" w:cs="Times New Roman"/>
          <w:b/>
          <w:bCs/>
          <w:color w:val="2F2F2F"/>
          <w:szCs w:val="48"/>
        </w:rPr>
        <w:t>din</w:t>
      </w:r>
      <w:r w:rsidRPr="004676B6">
        <w:rPr>
          <w:rFonts w:ascii="Times New Roman" w:eastAsia="Times New Roman" w:hAnsi="Times New Roman" w:cs="Times New Roman"/>
          <w:b/>
          <w:bCs/>
          <w:color w:val="2F2F2F"/>
          <w:szCs w:val="48"/>
        </w:rPr>
        <w:t xml:space="preserve"> _________2026</w:t>
      </w:r>
    </w:p>
    <w:p w:rsidR="00F70993" w:rsidRPr="004676B6" w:rsidRDefault="00F70993" w:rsidP="00C56F9C">
      <w:pPr>
        <w:shd w:val="clear" w:color="auto" w:fill="FFFFFF"/>
        <w:spacing w:after="0" w:line="240" w:lineRule="auto"/>
        <w:jc w:val="center"/>
        <w:rPr>
          <w:rFonts w:ascii="Times New Roman" w:eastAsia="Times New Roman" w:hAnsi="Times New Roman" w:cs="Times New Roman"/>
          <w:bCs/>
          <w:color w:val="000000" w:themeColor="text1"/>
          <w:sz w:val="56"/>
          <w:szCs w:val="56"/>
          <w14:shadow w14:blurRad="38100" w14:dist="19050" w14:dir="2700000" w14:sx="100000" w14:sy="100000" w14:kx="0" w14:ky="0" w14:algn="tl">
            <w14:schemeClr w14:val="dk1">
              <w14:alpha w14:val="60000"/>
            </w14:schemeClr>
          </w14:shadow>
        </w:rPr>
      </w:pPr>
    </w:p>
    <w:p w:rsidR="00A47A44" w:rsidRDefault="00A47A44" w:rsidP="00C56F9C">
      <w:pPr>
        <w:shd w:val="clear" w:color="auto" w:fill="FFFFFF"/>
        <w:spacing w:after="0" w:line="240" w:lineRule="auto"/>
        <w:jc w:val="cente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pPr>
      <w: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Региональная Опера</w:t>
      </w:r>
      <w:r w:rsidR="00F70993">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цион</w:t>
      </w:r>
      <w: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ная Программа Региона развития АТО Гагаузия</w:t>
      </w:r>
      <w:r w:rsidR="00F70993">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 xml:space="preserve"> 2026-2028</w:t>
      </w:r>
    </w:p>
    <w:p w:rsidR="00F70993" w:rsidRPr="00C56F9C" w:rsidRDefault="00F70993" w:rsidP="00F70993">
      <w:pPr>
        <w:shd w:val="clear" w:color="auto" w:fill="FFFFFF"/>
        <w:spacing w:after="0" w:line="240" w:lineRule="auto"/>
        <w:jc w:val="cente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pPr>
      <w:r>
        <w:rPr>
          <w:rFonts w:ascii="Times New Roman" w:eastAsia="Times New Roman" w:hAnsi="Times New Roman" w:cs="Times New Roman"/>
          <w:bCs/>
          <w:color w:val="000000" w:themeColor="text1"/>
          <w:sz w:val="56"/>
          <w:szCs w:val="56"/>
          <w:lang w:val="ru-RU"/>
          <w14:shadow w14:blurRad="38100" w14:dist="19050" w14:dir="2700000" w14:sx="100000" w14:sy="100000" w14:kx="0" w14:ky="0" w14:algn="tl">
            <w14:schemeClr w14:val="dk1">
              <w14:alpha w14:val="60000"/>
            </w14:schemeClr>
          </w14:shadow>
        </w:rPr>
        <w:t xml:space="preserve"> (Проект)</w:t>
      </w:r>
    </w:p>
    <w:p w:rsidR="00FE34C6" w:rsidRDefault="00FE34C6" w:rsidP="00A47A44">
      <w:pPr>
        <w:shd w:val="clear" w:color="auto" w:fill="FFFFFF"/>
        <w:spacing w:before="240" w:line="240" w:lineRule="auto"/>
        <w:rPr>
          <w:rFonts w:ascii="Times New Roman" w:eastAsia="Times New Roman" w:hAnsi="Times New Roman" w:cs="Times New Roman"/>
          <w:b/>
          <w:bCs/>
          <w:noProof/>
          <w:color w:val="2F2F2F"/>
          <w:sz w:val="24"/>
          <w:szCs w:val="24"/>
          <w:lang w:val="ru-RU" w:eastAsia="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noProof/>
          <w:color w:val="2F2F2F"/>
          <w:sz w:val="24"/>
          <w:szCs w:val="24"/>
          <w:lang w:val="ru-RU" w:eastAsia="ru-RU"/>
        </w:rPr>
        <w:drawing>
          <wp:anchor distT="0" distB="0" distL="114300" distR="114300" simplePos="0" relativeHeight="251660288" behindDoc="1" locked="0" layoutInCell="1" allowOverlap="1" wp14:anchorId="1B500FC4" wp14:editId="697982E8">
            <wp:simplePos x="0" y="0"/>
            <wp:positionH relativeFrom="column">
              <wp:posOffset>209423</wp:posOffset>
            </wp:positionH>
            <wp:positionV relativeFrom="paragraph">
              <wp:posOffset>204470</wp:posOffset>
            </wp:positionV>
            <wp:extent cx="5174615" cy="4234180"/>
            <wp:effectExtent l="0" t="0" r="6985" b="0"/>
            <wp:wrapTight wrapText="bothSides">
              <wp:wrapPolygon edited="0">
                <wp:start x="0" y="0"/>
                <wp:lineTo x="0" y="21477"/>
                <wp:lineTo x="21550" y="21477"/>
                <wp:lineTo x="21550"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74615" cy="4234180"/>
                    </a:xfrm>
                    <a:prstGeom prst="rect">
                      <a:avLst/>
                    </a:prstGeom>
                  </pic:spPr>
                </pic:pic>
              </a:graphicData>
            </a:graphic>
          </wp:anchor>
        </w:drawing>
      </w: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rPr>
          <w:rFonts w:ascii="Times New Roman" w:eastAsia="Times New Roman" w:hAnsi="Times New Roman" w:cs="Times New Roman"/>
          <w:b/>
          <w:bCs/>
          <w:color w:val="2F2F2F"/>
          <w:sz w:val="24"/>
          <w:szCs w:val="24"/>
          <w:lang w:val="ru-RU"/>
        </w:rPr>
      </w:pPr>
    </w:p>
    <w:p w:rsidR="00A12517" w:rsidRDefault="00A12517" w:rsidP="00C56F9C">
      <w:pPr>
        <w:shd w:val="clear" w:color="auto" w:fill="FFFFFF"/>
        <w:spacing w:before="240" w:line="240" w:lineRule="auto"/>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before="240" w:line="240" w:lineRule="auto"/>
        <w:jc w:val="center"/>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Комрат 2026</w:t>
      </w:r>
    </w:p>
    <w:p w:rsidR="00C56F9C" w:rsidRPr="00E652BA" w:rsidRDefault="00A47A44" w:rsidP="00E652BA">
      <w:pPr>
        <w:shd w:val="clear" w:color="auto" w:fill="FFFFFF"/>
        <w:spacing w:before="240" w:line="276" w:lineRule="auto"/>
        <w:jc w:val="center"/>
        <w:rPr>
          <w:rFonts w:ascii="Times New Roman" w:eastAsia="Times New Roman" w:hAnsi="Times New Roman" w:cs="Times New Roman"/>
          <w:b/>
          <w:bCs/>
          <w:color w:val="2F2F2F"/>
          <w:sz w:val="28"/>
          <w:szCs w:val="24"/>
          <w:lang w:val="ru-RU"/>
        </w:rPr>
      </w:pPr>
      <w:r w:rsidRPr="00C56F9C">
        <w:rPr>
          <w:rFonts w:ascii="Times New Roman" w:eastAsia="Times New Roman" w:hAnsi="Times New Roman" w:cs="Times New Roman"/>
          <w:b/>
          <w:bCs/>
          <w:color w:val="2F2F2F"/>
          <w:sz w:val="28"/>
          <w:szCs w:val="24"/>
          <w:lang w:val="ru-RU"/>
        </w:rPr>
        <w:lastRenderedPageBreak/>
        <w:t>СОДЕРЖАНИЕ</w:t>
      </w:r>
    </w:p>
    <w:p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I.      ВВЕДЕНИЕ</w:t>
      </w:r>
    </w:p>
    <w:p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1.1   Стратегический контекст</w:t>
      </w:r>
    </w:p>
    <w:p w:rsidR="00A47A44" w:rsidRDefault="00A47A44" w:rsidP="00E652BA">
      <w:pPr>
        <w:shd w:val="clear" w:color="auto" w:fill="FFFFFF"/>
        <w:spacing w:line="276"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1.2   </w:t>
      </w:r>
      <w:r w:rsidR="00E652BA">
        <w:rPr>
          <w:rFonts w:ascii="Times New Roman" w:eastAsia="Times New Roman" w:hAnsi="Times New Roman" w:cs="Times New Roman"/>
          <w:b/>
          <w:bCs/>
          <w:color w:val="000000"/>
          <w:sz w:val="24"/>
          <w:szCs w:val="24"/>
          <w:lang w:val="ru-RU"/>
        </w:rPr>
        <w:t>Вклад в достижение целей НСРР 2022–2028</w:t>
      </w:r>
    </w:p>
    <w:p w:rsidR="00A12517" w:rsidRDefault="00A47A44" w:rsidP="00E652BA">
      <w:pPr>
        <w:shd w:val="clear" w:color="auto" w:fill="FFFFFF"/>
        <w:spacing w:line="276"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2F2F2F"/>
          <w:sz w:val="24"/>
          <w:szCs w:val="24"/>
          <w:lang w:val="ru-RU"/>
        </w:rPr>
        <w:t xml:space="preserve">1.3   </w:t>
      </w:r>
      <w:r>
        <w:rPr>
          <w:rFonts w:ascii="Times New Roman" w:eastAsia="Times New Roman" w:hAnsi="Times New Roman" w:cs="Times New Roman"/>
          <w:b/>
          <w:bCs/>
          <w:color w:val="000000"/>
          <w:sz w:val="24"/>
          <w:szCs w:val="24"/>
          <w:lang w:val="ru-RU"/>
        </w:rPr>
        <w:t xml:space="preserve">Процесс и принципы разработки </w:t>
      </w:r>
      <w:r w:rsidR="00C56F9C">
        <w:rPr>
          <w:rFonts w:ascii="Times New Roman" w:eastAsia="Times New Roman" w:hAnsi="Times New Roman" w:cs="Times New Roman"/>
          <w:b/>
          <w:bCs/>
          <w:color w:val="000000"/>
          <w:sz w:val="24"/>
          <w:szCs w:val="24"/>
          <w:lang w:val="ru-RU"/>
        </w:rPr>
        <w:t>РОП</w:t>
      </w:r>
      <w:r>
        <w:rPr>
          <w:rFonts w:ascii="Times New Roman" w:eastAsia="Times New Roman" w:hAnsi="Times New Roman" w:cs="Times New Roman"/>
          <w:b/>
          <w:bCs/>
          <w:color w:val="000000"/>
          <w:sz w:val="24"/>
          <w:szCs w:val="24"/>
          <w:lang w:val="ru-RU"/>
        </w:rPr>
        <w:t xml:space="preserve"> АТО Гагаузия</w:t>
      </w:r>
    </w:p>
    <w:p w:rsidR="00A47A44" w:rsidRDefault="00A47A44" w:rsidP="00E652BA">
      <w:pPr>
        <w:shd w:val="clear" w:color="auto" w:fill="FFFFFF"/>
        <w:spacing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1.4 </w:t>
      </w:r>
      <w:r w:rsidR="00C56F9C">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Вовлечённые стороны</w:t>
      </w:r>
    </w:p>
    <w:p w:rsidR="00A47A44" w:rsidRDefault="00A47A44" w:rsidP="00E652BA">
      <w:pPr>
        <w:shd w:val="clear" w:color="auto" w:fill="FFFFFF"/>
        <w:spacing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1.5 </w:t>
      </w:r>
      <w:r w:rsidR="00C56F9C">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Период внедрения</w:t>
      </w:r>
    </w:p>
    <w:p w:rsidR="00A47A44" w:rsidRPr="00E652BA" w:rsidRDefault="00C56F9C" w:rsidP="00E652BA">
      <w:pPr>
        <w:shd w:val="clear" w:color="auto" w:fill="FFFFFF"/>
        <w:spacing w:line="276" w:lineRule="auto"/>
        <w:rPr>
          <w:rFonts w:ascii="Times New Roman" w:eastAsia="Times New Roman" w:hAnsi="Times New Roman" w:cs="Times New Roman"/>
          <w:b/>
          <w:bCs/>
          <w:color w:val="2F2F2F"/>
          <w:sz w:val="24"/>
          <w:szCs w:val="24"/>
          <w:lang w:val="ro-MD"/>
        </w:rPr>
      </w:pPr>
      <w:r>
        <w:rPr>
          <w:rFonts w:ascii="Times New Roman" w:eastAsia="Times New Roman" w:hAnsi="Times New Roman" w:cs="Times New Roman"/>
          <w:b/>
          <w:bCs/>
          <w:color w:val="2F2F2F"/>
          <w:sz w:val="24"/>
          <w:szCs w:val="24"/>
          <w:lang w:val="ru-RU"/>
        </w:rPr>
        <w:t>1.6</w:t>
      </w:r>
      <w:r w:rsidRPr="00C56F9C">
        <w:rPr>
          <w:lang w:val="ru-RU"/>
        </w:rPr>
        <w:t xml:space="preserve"> </w:t>
      </w:r>
      <w:r>
        <w:rPr>
          <w:lang w:val="ro-MD"/>
        </w:rPr>
        <w:t xml:space="preserve">  </w:t>
      </w:r>
      <w:r w:rsidRPr="00C56F9C">
        <w:rPr>
          <w:rFonts w:ascii="Times New Roman" w:eastAsia="Times New Roman" w:hAnsi="Times New Roman" w:cs="Times New Roman"/>
          <w:b/>
          <w:bCs/>
          <w:color w:val="2F2F2F"/>
          <w:sz w:val="24"/>
          <w:szCs w:val="24"/>
          <w:lang w:val="ru-RU"/>
        </w:rPr>
        <w:t xml:space="preserve">Общие результаты реализации </w:t>
      </w:r>
      <w:r>
        <w:rPr>
          <w:rFonts w:ascii="Times New Roman" w:eastAsia="Times New Roman" w:hAnsi="Times New Roman" w:cs="Times New Roman"/>
          <w:b/>
          <w:bCs/>
          <w:color w:val="2F2F2F"/>
          <w:sz w:val="24"/>
          <w:szCs w:val="24"/>
          <w:lang w:val="ru-RU"/>
        </w:rPr>
        <w:t>РОП</w:t>
      </w:r>
      <w:r w:rsidRPr="00C56F9C">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000000"/>
          <w:sz w:val="24"/>
          <w:szCs w:val="24"/>
          <w:lang w:val="ru-RU"/>
        </w:rPr>
        <w:t>АТО Гагаузия</w:t>
      </w:r>
      <w:r w:rsidRPr="00C56F9C">
        <w:rPr>
          <w:rFonts w:ascii="Times New Roman" w:eastAsia="Times New Roman" w:hAnsi="Times New Roman" w:cs="Times New Roman"/>
          <w:b/>
          <w:bCs/>
          <w:color w:val="2F2F2F"/>
          <w:sz w:val="24"/>
          <w:szCs w:val="24"/>
          <w:lang w:val="ru-RU"/>
        </w:rPr>
        <w:t xml:space="preserve"> на 2022-2025 годы.</w:t>
      </w:r>
    </w:p>
    <w:p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II.    АНАЛИЗ РЕГИОНА</w:t>
      </w:r>
    </w:p>
    <w:p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2.1   Общая характеристика региона</w:t>
      </w:r>
    </w:p>
    <w:p w:rsidR="00A47A44"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2.2   Развитие городских центров</w:t>
      </w:r>
    </w:p>
    <w:p w:rsidR="00A47A44" w:rsidRPr="00A12517"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2.3   </w:t>
      </w:r>
      <w:r>
        <w:rPr>
          <w:rFonts w:ascii="Times New Roman" w:eastAsia="Times New Roman" w:hAnsi="Times New Roman" w:cs="Times New Roman"/>
          <w:b/>
          <w:bCs/>
          <w:color w:val="000000"/>
          <w:sz w:val="24"/>
          <w:szCs w:val="24"/>
          <w:lang w:val="ru-RU"/>
        </w:rPr>
        <w:t>Возможности для экономического развития региона</w:t>
      </w:r>
      <w:r>
        <w:rPr>
          <w:rFonts w:ascii="Times New Roman" w:eastAsia="Times New Roman" w:hAnsi="Times New Roman" w:cs="Times New Roman"/>
          <w:b/>
          <w:bCs/>
          <w:color w:val="2F2F2F"/>
          <w:sz w:val="24"/>
          <w:szCs w:val="24"/>
          <w:lang w:val="ru-RU"/>
        </w:rPr>
        <w:t xml:space="preserve"> </w:t>
      </w:r>
      <w:r w:rsidR="00A12517" w:rsidRPr="00A12517">
        <w:rPr>
          <w:rFonts w:ascii="Times New Roman" w:eastAsia="Times New Roman" w:hAnsi="Times New Roman" w:cs="Times New Roman"/>
          <w:b/>
          <w:bCs/>
          <w:color w:val="2F2F2F"/>
          <w:sz w:val="24"/>
          <w:szCs w:val="24"/>
          <w:lang w:val="ru-RU"/>
        </w:rPr>
        <w:t xml:space="preserve"> </w:t>
      </w:r>
    </w:p>
    <w:p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2.4   </w:t>
      </w:r>
      <w:r>
        <w:rPr>
          <w:rFonts w:ascii="Times New Roman" w:eastAsia="Times New Roman" w:hAnsi="Times New Roman" w:cs="Times New Roman"/>
          <w:b/>
          <w:bCs/>
          <w:color w:val="000000"/>
          <w:sz w:val="24"/>
          <w:szCs w:val="24"/>
          <w:lang w:val="ru-RU"/>
        </w:rPr>
        <w:t>Развитие инфраструктуры </w:t>
      </w:r>
    </w:p>
    <w:p w:rsidR="00A12517" w:rsidRPr="00E652BA" w:rsidRDefault="00A47A44" w:rsidP="00E652BA">
      <w:pPr>
        <w:shd w:val="clear" w:color="auto" w:fill="FFFFFF"/>
        <w:spacing w:line="276"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2F2F2F"/>
          <w:sz w:val="24"/>
          <w:szCs w:val="24"/>
          <w:lang w:val="ru-RU"/>
        </w:rPr>
        <w:t>2.5.  </w:t>
      </w:r>
      <w:r>
        <w:rPr>
          <w:rFonts w:ascii="Times New Roman" w:eastAsia="Times New Roman" w:hAnsi="Times New Roman" w:cs="Times New Roman"/>
          <w:b/>
          <w:bCs/>
          <w:color w:val="000000"/>
          <w:sz w:val="24"/>
          <w:szCs w:val="24"/>
          <w:lang w:val="ru-RU"/>
        </w:rPr>
        <w:t>Развитие сельско-городского взаимодействия </w:t>
      </w:r>
      <w:r w:rsidR="00A12517" w:rsidRPr="00935CE2">
        <w:rPr>
          <w:rFonts w:ascii="Times New Roman" w:eastAsia="Times New Roman" w:hAnsi="Times New Roman" w:cs="Times New Roman"/>
          <w:b/>
          <w:bCs/>
          <w:color w:val="000000"/>
          <w:sz w:val="24"/>
          <w:szCs w:val="24"/>
          <w:lang w:val="ru-RU"/>
        </w:rPr>
        <w:t xml:space="preserve"> </w:t>
      </w:r>
    </w:p>
    <w:p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III.   </w:t>
      </w:r>
      <w:r w:rsidR="008D1CF1">
        <w:rPr>
          <w:rFonts w:ascii="Times New Roman" w:eastAsia="Times New Roman" w:hAnsi="Times New Roman" w:cs="Times New Roman"/>
          <w:b/>
          <w:bCs/>
          <w:color w:val="2F2F2F"/>
          <w:sz w:val="24"/>
          <w:szCs w:val="24"/>
          <w:lang w:val="ru-RU"/>
        </w:rPr>
        <w:t xml:space="preserve">ОБЩИЕ </w:t>
      </w:r>
      <w:r w:rsidR="00E652BA">
        <w:rPr>
          <w:rFonts w:ascii="Times New Roman" w:eastAsia="Times New Roman" w:hAnsi="Times New Roman" w:cs="Times New Roman"/>
          <w:b/>
          <w:bCs/>
          <w:color w:val="2F2F2F"/>
          <w:sz w:val="24"/>
          <w:szCs w:val="24"/>
          <w:lang w:val="ru-RU"/>
        </w:rPr>
        <w:t>ЦЕЛИ И ПРИОРИТЕТНЫЕ НАПРАВЛЕНИЯ</w:t>
      </w:r>
    </w:p>
    <w:p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3.1.  </w:t>
      </w:r>
      <w:r>
        <w:rPr>
          <w:rFonts w:ascii="Times New Roman" w:eastAsia="Times New Roman" w:hAnsi="Times New Roman" w:cs="Times New Roman"/>
          <w:b/>
          <w:bCs/>
          <w:color w:val="000000"/>
          <w:sz w:val="24"/>
          <w:szCs w:val="24"/>
          <w:lang w:val="ru-RU"/>
        </w:rPr>
        <w:t>Повышение конкурентоспособности экономики региона</w:t>
      </w:r>
      <w:r w:rsidR="00FE34C6">
        <w:rPr>
          <w:rFonts w:ascii="Times New Roman" w:eastAsia="Times New Roman" w:hAnsi="Times New Roman" w:cs="Times New Roman"/>
          <w:b/>
          <w:bCs/>
          <w:color w:val="000000"/>
          <w:sz w:val="24"/>
          <w:szCs w:val="24"/>
          <w:lang w:val="ru-RU"/>
        </w:rPr>
        <w:t xml:space="preserve"> </w:t>
      </w:r>
      <w:r>
        <w:rPr>
          <w:rFonts w:ascii="Times New Roman" w:eastAsia="Times New Roman" w:hAnsi="Times New Roman" w:cs="Times New Roman"/>
          <w:b/>
          <w:bCs/>
          <w:color w:val="000000"/>
          <w:sz w:val="24"/>
          <w:szCs w:val="24"/>
          <w:lang w:val="ru-RU"/>
        </w:rPr>
        <w:t>развития АТО Гагаузия</w:t>
      </w:r>
      <w:r w:rsidR="00A12517" w:rsidRPr="00935CE2">
        <w:rPr>
          <w:rFonts w:ascii="Times New Roman" w:eastAsia="Times New Roman" w:hAnsi="Times New Roman" w:cs="Times New Roman"/>
          <w:b/>
          <w:bCs/>
          <w:color w:val="000000"/>
          <w:sz w:val="24"/>
          <w:szCs w:val="24"/>
          <w:lang w:val="ru-RU"/>
        </w:rPr>
        <w:t xml:space="preserve">    </w:t>
      </w:r>
    </w:p>
    <w:p w:rsidR="00A47A44" w:rsidRPr="00A12517"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3.2.  </w:t>
      </w:r>
      <w:r>
        <w:rPr>
          <w:rFonts w:ascii="Times New Roman" w:eastAsia="Times New Roman" w:hAnsi="Times New Roman" w:cs="Times New Roman"/>
          <w:b/>
          <w:bCs/>
          <w:color w:val="000000"/>
          <w:sz w:val="24"/>
          <w:szCs w:val="24"/>
          <w:lang w:val="ru-RU"/>
        </w:rPr>
        <w:t>Совершенствование региональной инфраструктуры социально-экономического и пространственного развития</w:t>
      </w:r>
      <w:r w:rsidR="00A12517" w:rsidRPr="00A12517">
        <w:rPr>
          <w:rFonts w:ascii="Times New Roman" w:eastAsia="Times New Roman" w:hAnsi="Times New Roman" w:cs="Times New Roman"/>
          <w:b/>
          <w:bCs/>
          <w:color w:val="000000"/>
          <w:sz w:val="24"/>
          <w:szCs w:val="24"/>
          <w:lang w:val="ru-RU"/>
        </w:rPr>
        <w:t xml:space="preserve"> </w:t>
      </w:r>
    </w:p>
    <w:p w:rsidR="00A12517" w:rsidRPr="00A12517" w:rsidRDefault="00A47A44" w:rsidP="00E652BA">
      <w:pPr>
        <w:shd w:val="clear" w:color="auto" w:fill="FFFFFF"/>
        <w:spacing w:line="276" w:lineRule="auto"/>
        <w:ind w:right="-143"/>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3.3.  Совершенствование инструментов координации и реализации национальной политики регионального развития</w:t>
      </w:r>
      <w:r w:rsidR="00A12517" w:rsidRPr="00A12517">
        <w:rPr>
          <w:rFonts w:ascii="Times New Roman" w:eastAsia="Times New Roman" w:hAnsi="Times New Roman" w:cs="Times New Roman"/>
          <w:b/>
          <w:bCs/>
          <w:color w:val="2F2F2F"/>
          <w:sz w:val="24"/>
          <w:szCs w:val="24"/>
          <w:lang w:val="ru-RU"/>
        </w:rPr>
        <w:t xml:space="preserve"> </w:t>
      </w:r>
    </w:p>
    <w:p w:rsidR="00A47A44" w:rsidRPr="00A12517"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IV.   </w:t>
      </w:r>
      <w:r w:rsidR="00C56F9C">
        <w:rPr>
          <w:rFonts w:ascii="Times New Roman" w:eastAsia="Times New Roman" w:hAnsi="Times New Roman" w:cs="Times New Roman"/>
          <w:b/>
          <w:bCs/>
          <w:color w:val="2F2F2F"/>
          <w:sz w:val="24"/>
          <w:szCs w:val="24"/>
          <w:lang w:val="ru-RU"/>
        </w:rPr>
        <w:t>МОНИТОРИНГ И ОЦЕНКА</w:t>
      </w:r>
      <w:r w:rsidR="00C56F9C" w:rsidRPr="00935CE2">
        <w:rPr>
          <w:rFonts w:ascii="Times New Roman" w:eastAsia="Times New Roman" w:hAnsi="Times New Roman" w:cs="Times New Roman"/>
          <w:b/>
          <w:bCs/>
          <w:color w:val="2F2F2F"/>
          <w:sz w:val="24"/>
          <w:szCs w:val="24"/>
          <w:lang w:val="ru-RU"/>
        </w:rPr>
        <w:t xml:space="preserve"> </w:t>
      </w:r>
    </w:p>
    <w:p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V.   </w:t>
      </w:r>
      <w:r w:rsidR="00C56F9C">
        <w:rPr>
          <w:rFonts w:ascii="Times New Roman" w:eastAsia="Times New Roman" w:hAnsi="Times New Roman" w:cs="Times New Roman"/>
          <w:b/>
          <w:bCs/>
          <w:color w:val="2F2F2F"/>
          <w:sz w:val="24"/>
          <w:szCs w:val="24"/>
          <w:lang w:val="ru-RU"/>
        </w:rPr>
        <w:t>МЕРЫ И ПОКАЗАТЕЛИ ВЛИЯНИЯ</w:t>
      </w:r>
      <w:r w:rsidR="00C56F9C" w:rsidRPr="00A12517">
        <w:rPr>
          <w:rFonts w:ascii="Times New Roman" w:eastAsia="Times New Roman" w:hAnsi="Times New Roman" w:cs="Times New Roman"/>
          <w:b/>
          <w:bCs/>
          <w:color w:val="2F2F2F"/>
          <w:sz w:val="24"/>
          <w:szCs w:val="24"/>
          <w:lang w:val="ru-RU"/>
        </w:rPr>
        <w:t xml:space="preserve"> </w:t>
      </w:r>
    </w:p>
    <w:p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VI.   </w:t>
      </w:r>
      <w:r w:rsidR="007957E8">
        <w:rPr>
          <w:rFonts w:ascii="Times New Roman" w:eastAsia="Times New Roman" w:hAnsi="Times New Roman" w:cs="Times New Roman"/>
          <w:b/>
          <w:bCs/>
          <w:color w:val="2F2F2F"/>
          <w:sz w:val="24"/>
          <w:szCs w:val="24"/>
          <w:lang w:val="ru-RU"/>
        </w:rPr>
        <w:t>СТОИМОСТЬ</w:t>
      </w:r>
    </w:p>
    <w:p w:rsidR="00A47A44" w:rsidRPr="00935CE2" w:rsidRDefault="00A47A44" w:rsidP="00E652BA">
      <w:pPr>
        <w:shd w:val="clear" w:color="auto" w:fill="FFFFFF"/>
        <w:spacing w:line="276"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2F2F2F"/>
          <w:sz w:val="24"/>
          <w:szCs w:val="24"/>
          <w:lang w:val="ru-RU"/>
        </w:rPr>
        <w:t xml:space="preserve">VII.   </w:t>
      </w:r>
      <w:r w:rsidR="008558B6">
        <w:rPr>
          <w:rFonts w:ascii="Times New Roman" w:eastAsia="Times New Roman" w:hAnsi="Times New Roman" w:cs="Times New Roman"/>
          <w:b/>
          <w:bCs/>
          <w:color w:val="2F2F2F"/>
          <w:sz w:val="24"/>
          <w:szCs w:val="24"/>
          <w:lang w:val="ru-RU"/>
        </w:rPr>
        <w:t>СОПУТСТВУЮЩИЕ РИСКИ</w:t>
      </w:r>
    </w:p>
    <w:p w:rsidR="0005655F" w:rsidRDefault="00A47A44" w:rsidP="00E652BA">
      <w:pPr>
        <w:shd w:val="clear" w:color="auto" w:fill="FFFFFF"/>
        <w:spacing w:before="240"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VIII.  </w:t>
      </w:r>
      <w:r w:rsidR="008558B6" w:rsidRPr="004676B6">
        <w:rPr>
          <w:rFonts w:ascii="Times New Roman" w:eastAsia="Times New Roman" w:hAnsi="Times New Roman" w:cs="Times New Roman"/>
          <w:b/>
          <w:bCs/>
          <w:color w:val="2F2F2F"/>
          <w:sz w:val="24"/>
          <w:szCs w:val="24"/>
          <w:lang w:val="ru-RU"/>
        </w:rPr>
        <w:t xml:space="preserve">ОТВЕТСТВЕННЫЕ СТОРОНЫ </w:t>
      </w:r>
    </w:p>
    <w:p w:rsidR="008558B6" w:rsidRDefault="008558B6" w:rsidP="00E652BA">
      <w:pPr>
        <w:shd w:val="clear" w:color="auto" w:fill="FFFFFF"/>
        <w:spacing w:before="240"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rPr>
        <w:t>IX</w:t>
      </w:r>
      <w:r w:rsidRPr="008558B6">
        <w:rPr>
          <w:rFonts w:ascii="Times New Roman" w:eastAsia="Times New Roman" w:hAnsi="Times New Roman" w:cs="Times New Roman"/>
          <w:b/>
          <w:bCs/>
          <w:color w:val="2F2F2F"/>
          <w:sz w:val="24"/>
          <w:szCs w:val="24"/>
          <w:lang w:val="ru-RU"/>
        </w:rPr>
        <w:t>. ОРГАНИЗАЦИЯ ПРОЦЕССА МОНИТОРИНГА И ОТЧЕТНОСТИ</w:t>
      </w:r>
    </w:p>
    <w:p w:rsidR="002D17EE" w:rsidRDefault="008558B6" w:rsidP="00E652BA">
      <w:pPr>
        <w:shd w:val="clear" w:color="auto" w:fill="FFFFFF"/>
        <w:spacing w:before="240" w:line="276"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rPr>
        <w:t>X</w:t>
      </w:r>
      <w:r w:rsidRPr="008558B6">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ПЛАН РЕАЛИЗАЦИИ</w:t>
      </w:r>
      <w:r>
        <w:rPr>
          <w:rFonts w:ascii="Times New Roman" w:eastAsia="Times New Roman" w:hAnsi="Times New Roman" w:cs="Times New Roman"/>
          <w:b/>
          <w:bCs/>
          <w:color w:val="2F2F2F"/>
          <w:sz w:val="24"/>
          <w:szCs w:val="24"/>
          <w:lang w:val="ro-MD"/>
        </w:rPr>
        <w:t xml:space="preserve"> </w:t>
      </w:r>
      <w:r>
        <w:rPr>
          <w:rFonts w:ascii="Times New Roman" w:eastAsia="Times New Roman" w:hAnsi="Times New Roman" w:cs="Times New Roman"/>
          <w:b/>
          <w:bCs/>
          <w:color w:val="2F2F2F"/>
          <w:sz w:val="24"/>
          <w:szCs w:val="24"/>
          <w:lang w:val="ru-RU"/>
        </w:rPr>
        <w:t>РОП</w:t>
      </w:r>
      <w:r w:rsidRPr="008558B6">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rPr>
        <w:t>ATO</w:t>
      </w:r>
      <w:r w:rsidRPr="008558B6">
        <w:rPr>
          <w:rFonts w:ascii="Times New Roman" w:eastAsia="Times New Roman" w:hAnsi="Times New Roman" w:cs="Times New Roman"/>
          <w:b/>
          <w:bCs/>
          <w:color w:val="2F2F2F"/>
          <w:sz w:val="24"/>
          <w:szCs w:val="24"/>
          <w:lang w:val="ru-RU"/>
        </w:rPr>
        <w:t xml:space="preserve"> ГАГАУЗИЯ НА 2026-2028 ГОДЫ</w:t>
      </w:r>
    </w:p>
    <w:p w:rsidR="00E652BA" w:rsidRDefault="00E652BA" w:rsidP="00E652BA">
      <w:pPr>
        <w:shd w:val="clear" w:color="auto" w:fill="FFFFFF"/>
        <w:spacing w:before="24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    </w:t>
      </w:r>
    </w:p>
    <w:p w:rsidR="00E652BA" w:rsidRDefault="00E652BA" w:rsidP="00E652BA">
      <w:pPr>
        <w:shd w:val="clear" w:color="auto" w:fill="FFFFFF"/>
        <w:spacing w:before="240" w:line="360" w:lineRule="auto"/>
        <w:rPr>
          <w:rFonts w:ascii="Times New Roman" w:eastAsia="Times New Roman" w:hAnsi="Times New Roman" w:cs="Times New Roman"/>
          <w:b/>
          <w:bCs/>
          <w:color w:val="2F2F2F"/>
          <w:sz w:val="24"/>
          <w:szCs w:val="24"/>
          <w:lang w:val="ru-RU"/>
        </w:rPr>
      </w:pPr>
    </w:p>
    <w:p w:rsidR="00A47A44" w:rsidRDefault="00A47A44" w:rsidP="00E652BA">
      <w:pPr>
        <w:pStyle w:val="4"/>
        <w:spacing w:after="160" w:afterAutospacing="0" w:line="360" w:lineRule="auto"/>
        <w:rPr>
          <w:lang w:val="ru-RU"/>
        </w:rPr>
      </w:pPr>
      <w:r>
        <w:rPr>
          <w:lang w:val="ru-RU"/>
        </w:rPr>
        <w:lastRenderedPageBreak/>
        <w:t>А</w:t>
      </w:r>
      <w:r w:rsidRPr="00F21932">
        <w:rPr>
          <w:lang w:val="ru-RU"/>
        </w:rPr>
        <w:t xml:space="preserve">ББРЕВИАТУРЫ </w:t>
      </w:r>
    </w:p>
    <w:p w:rsidR="00A47A44" w:rsidRPr="00F21932" w:rsidRDefault="00A47A44" w:rsidP="00A47A44">
      <w:pPr>
        <w:spacing w:before="2"/>
        <w:rPr>
          <w:rFonts w:ascii="Calibri Light" w:eastAsia="Calibri Light" w:hAnsi="Calibri Light" w:cs="Calibri Light"/>
          <w:sz w:val="11"/>
          <w:szCs w:val="11"/>
          <w:lang w:val="ru-RU"/>
        </w:rPr>
      </w:pPr>
    </w:p>
    <w:tbl>
      <w:tblPr>
        <w:tblW w:w="9351" w:type="dxa"/>
        <w:tblInd w:w="110" w:type="dxa"/>
        <w:tblLayout w:type="fixed"/>
        <w:tblLook w:val="04A0" w:firstRow="1" w:lastRow="0" w:firstColumn="1" w:lastColumn="0" w:noHBand="0" w:noVBand="1"/>
      </w:tblPr>
      <w:tblGrid>
        <w:gridCol w:w="1450"/>
        <w:gridCol w:w="7901"/>
      </w:tblGrid>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АРР</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Агентство</w:t>
            </w:r>
            <w:proofErr w:type="spellEnd"/>
            <w:r>
              <w:rPr>
                <w:rFonts w:ascii="Times New Roman" w:hAnsi="Times New Roman" w:cs="Times New Roman"/>
                <w:spacing w:val="-1"/>
                <w:sz w:val="24"/>
              </w:rPr>
              <w:t xml:space="preserve"> </w:t>
            </w:r>
            <w:r w:rsidR="00FE34C6">
              <w:rPr>
                <w:rFonts w:ascii="Times New Roman" w:hAnsi="Times New Roman" w:cs="Times New Roman"/>
                <w:spacing w:val="-1"/>
                <w:sz w:val="24"/>
                <w:lang w:val="ru-RU"/>
              </w:rPr>
              <w:t>Р</w:t>
            </w:r>
            <w:proofErr w:type="spellStart"/>
            <w:r>
              <w:rPr>
                <w:rFonts w:ascii="Times New Roman" w:hAnsi="Times New Roman" w:cs="Times New Roman"/>
                <w:spacing w:val="-1"/>
                <w:sz w:val="24"/>
              </w:rPr>
              <w:t>егионального</w:t>
            </w:r>
            <w:proofErr w:type="spellEnd"/>
            <w:r>
              <w:rPr>
                <w:rFonts w:ascii="Times New Roman" w:hAnsi="Times New Roman" w:cs="Times New Roman"/>
                <w:spacing w:val="1"/>
                <w:sz w:val="24"/>
              </w:rPr>
              <w:t xml:space="preserve"> </w:t>
            </w:r>
            <w:r w:rsidR="00FE34C6">
              <w:rPr>
                <w:rFonts w:ascii="Times New Roman" w:hAnsi="Times New Roman" w:cs="Times New Roman"/>
                <w:spacing w:val="-1"/>
                <w:sz w:val="24"/>
                <w:lang w:val="ru-RU"/>
              </w:rPr>
              <w:t>Р</w:t>
            </w:r>
            <w:proofErr w:type="spellStart"/>
            <w:r>
              <w:rPr>
                <w:rFonts w:ascii="Times New Roman" w:hAnsi="Times New Roman" w:cs="Times New Roman"/>
                <w:spacing w:val="-1"/>
                <w:sz w:val="24"/>
              </w:rPr>
              <w:t>азвития</w:t>
            </w:r>
            <w:proofErr w:type="spellEnd"/>
          </w:p>
        </w:tc>
      </w:tr>
      <w:tr w:rsidR="00A47A44" w:rsidRPr="0005655F"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АРРГ</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 xml:space="preserve">Агентство </w:t>
            </w:r>
            <w:r w:rsidR="00FE34C6">
              <w:rPr>
                <w:rFonts w:ascii="Times New Roman" w:hAnsi="Times New Roman" w:cs="Times New Roman"/>
                <w:spacing w:val="-1"/>
                <w:sz w:val="24"/>
                <w:lang w:val="ru-RU"/>
              </w:rPr>
              <w:t>Р</w:t>
            </w:r>
            <w:r>
              <w:rPr>
                <w:rFonts w:ascii="Times New Roman" w:hAnsi="Times New Roman" w:cs="Times New Roman"/>
                <w:spacing w:val="-1"/>
                <w:sz w:val="24"/>
                <w:lang w:val="ru-RU"/>
              </w:rPr>
              <w:t>егионального</w:t>
            </w:r>
            <w:r>
              <w:rPr>
                <w:rFonts w:ascii="Times New Roman" w:hAnsi="Times New Roman" w:cs="Times New Roman"/>
                <w:spacing w:val="1"/>
                <w:sz w:val="24"/>
                <w:lang w:val="ru-RU"/>
              </w:rPr>
              <w:t xml:space="preserve"> </w:t>
            </w:r>
            <w:r w:rsidR="00FE34C6">
              <w:rPr>
                <w:rFonts w:ascii="Times New Roman" w:hAnsi="Times New Roman" w:cs="Times New Roman"/>
                <w:spacing w:val="-1"/>
                <w:sz w:val="24"/>
                <w:lang w:val="ru-RU"/>
              </w:rPr>
              <w:t>Р</w:t>
            </w:r>
            <w:r>
              <w:rPr>
                <w:rFonts w:ascii="Times New Roman" w:hAnsi="Times New Roman" w:cs="Times New Roman"/>
                <w:spacing w:val="-1"/>
                <w:sz w:val="24"/>
                <w:lang w:val="ru-RU"/>
              </w:rPr>
              <w:t>азвития</w:t>
            </w:r>
            <w:r>
              <w:rPr>
                <w:rFonts w:ascii="Times New Roman" w:hAnsi="Times New Roman" w:cs="Times New Roman"/>
                <w:sz w:val="24"/>
                <w:lang w:val="ru-RU"/>
              </w:rPr>
              <w:t xml:space="preserve"> </w:t>
            </w:r>
            <w:r>
              <w:rPr>
                <w:rFonts w:ascii="Times New Roman" w:hAnsi="Times New Roman" w:cs="Times New Roman"/>
                <w:spacing w:val="-1"/>
                <w:sz w:val="24"/>
                <w:lang w:val="ru-RU"/>
              </w:rPr>
              <w:t>АТО</w:t>
            </w:r>
            <w:r>
              <w:rPr>
                <w:rFonts w:ascii="Times New Roman" w:hAnsi="Times New Roman" w:cs="Times New Roman"/>
                <w:sz w:val="24"/>
                <w:lang w:val="ru-RU"/>
              </w:rPr>
              <w:t xml:space="preserve"> </w:t>
            </w:r>
            <w:r>
              <w:rPr>
                <w:rFonts w:ascii="Times New Roman" w:hAnsi="Times New Roman" w:cs="Times New Roman"/>
                <w:spacing w:val="-1"/>
                <w:sz w:val="24"/>
                <w:lang w:val="ru-RU"/>
              </w:rPr>
              <w:t>Гагаузия</w:t>
            </w: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АТЕ</w:t>
            </w: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rPr>
            </w:pPr>
            <w:proofErr w:type="spellStart"/>
            <w:r>
              <w:rPr>
                <w:rFonts w:ascii="Times New Roman" w:hAnsi="Times New Roman" w:cs="Times New Roman"/>
                <w:spacing w:val="-1"/>
                <w:sz w:val="24"/>
              </w:rPr>
              <w:t>Административно-территориальная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единица</w:t>
            </w:r>
            <w:proofErr w:type="spellEnd"/>
          </w:p>
          <w:p w:rsidR="00A47A44" w:rsidRDefault="00A47A44" w:rsidP="00564734">
            <w:pPr>
              <w:pStyle w:val="TableParagraph"/>
              <w:spacing w:line="271" w:lineRule="exact"/>
              <w:ind w:left="540"/>
              <w:rPr>
                <w:rFonts w:ascii="Times New Roman" w:hAnsi="Times New Roman" w:cs="Times New Roman"/>
                <w:spacing w:val="-1"/>
                <w:sz w:val="24"/>
              </w:rPr>
            </w:pPr>
          </w:p>
          <w:p w:rsidR="00A47A44" w:rsidRDefault="00A47A44" w:rsidP="00564734">
            <w:pPr>
              <w:pStyle w:val="TableParagraph"/>
              <w:spacing w:line="271" w:lineRule="exact"/>
              <w:ind w:left="540"/>
              <w:rPr>
                <w:rFonts w:ascii="Times New Roman" w:hAnsi="Times New Roman" w:cs="Times New Roman"/>
                <w:spacing w:val="-1"/>
                <w:sz w:val="24"/>
              </w:rPr>
            </w:pPr>
          </w:p>
          <w:p w:rsidR="00A47A44" w:rsidRDefault="00A47A44" w:rsidP="00564734">
            <w:pPr>
              <w:pStyle w:val="TableParagraph"/>
              <w:spacing w:line="271" w:lineRule="exact"/>
              <w:ind w:left="540"/>
              <w:rPr>
                <w:rFonts w:ascii="Times New Roman" w:hAnsi="Times New Roman" w:cs="Times New Roman"/>
                <w:spacing w:val="-1"/>
                <w:sz w:val="24"/>
              </w:rPr>
            </w:pPr>
          </w:p>
          <w:p w:rsidR="00A47A44" w:rsidRDefault="00A47A44" w:rsidP="00564734">
            <w:pPr>
              <w:pStyle w:val="TableParagraph"/>
              <w:spacing w:line="271" w:lineRule="exact"/>
              <w:ind w:left="540"/>
              <w:rPr>
                <w:rFonts w:ascii="Times New Roman" w:eastAsia="Calibri" w:hAnsi="Times New Roman" w:cs="Times New Roman"/>
                <w:sz w:val="24"/>
                <w:szCs w:val="24"/>
              </w:rPr>
            </w:pP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ATO</w:t>
            </w:r>
          </w:p>
        </w:tc>
        <w:tc>
          <w:tcPr>
            <w:tcW w:w="7901" w:type="dxa"/>
          </w:tcPr>
          <w:p w:rsidR="00A47A44" w:rsidRDefault="004676B6"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Автономно</w:t>
            </w:r>
            <w:proofErr w:type="spellEnd"/>
            <w:r>
              <w:rPr>
                <w:rFonts w:ascii="Times New Roman" w:hAnsi="Times New Roman" w:cs="Times New Roman"/>
                <w:spacing w:val="-1"/>
                <w:sz w:val="24"/>
                <w:lang w:val="ru-RU"/>
              </w:rPr>
              <w:t>-</w:t>
            </w:r>
            <w:r w:rsidR="00FE34C6">
              <w:rPr>
                <w:rFonts w:ascii="Times New Roman" w:hAnsi="Times New Roman" w:cs="Times New Roman"/>
                <w:spacing w:val="-1"/>
                <w:sz w:val="24"/>
                <w:lang w:val="ru-RU"/>
              </w:rPr>
              <w:t>Т</w:t>
            </w:r>
            <w:proofErr w:type="spellStart"/>
            <w:r w:rsidR="00A47A44">
              <w:rPr>
                <w:rFonts w:ascii="Times New Roman" w:hAnsi="Times New Roman" w:cs="Times New Roman"/>
                <w:spacing w:val="-1"/>
                <w:sz w:val="24"/>
              </w:rPr>
              <w:t>ерриториальное</w:t>
            </w:r>
            <w:proofErr w:type="spellEnd"/>
            <w:r w:rsidR="00A47A44">
              <w:rPr>
                <w:rFonts w:ascii="Times New Roman" w:hAnsi="Times New Roman" w:cs="Times New Roman"/>
                <w:spacing w:val="1"/>
                <w:sz w:val="24"/>
              </w:rPr>
              <w:t xml:space="preserve"> </w:t>
            </w:r>
            <w:r w:rsidR="00FE34C6">
              <w:rPr>
                <w:rFonts w:ascii="Times New Roman" w:hAnsi="Times New Roman" w:cs="Times New Roman"/>
                <w:spacing w:val="-1"/>
                <w:sz w:val="24"/>
                <w:lang w:val="ru-RU"/>
              </w:rPr>
              <w:t>О</w:t>
            </w:r>
            <w:proofErr w:type="spellStart"/>
            <w:r w:rsidR="00A47A44">
              <w:rPr>
                <w:rFonts w:ascii="Times New Roman" w:hAnsi="Times New Roman" w:cs="Times New Roman"/>
                <w:spacing w:val="-1"/>
                <w:sz w:val="24"/>
              </w:rPr>
              <w:t>бразование</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hAnsi="Times New Roman" w:cs="Times New Roman"/>
                <w:sz w:val="24"/>
              </w:rPr>
            </w:pPr>
            <w:r>
              <w:rPr>
                <w:rFonts w:ascii="Times New Roman" w:hAnsi="Times New Roman" w:cs="Times New Roman"/>
                <w:sz w:val="24"/>
              </w:rPr>
              <w:t>АПУ</w:t>
            </w: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Академия Публичного Управления</w:t>
            </w: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hAnsi="Times New Roman" w:cs="Times New Roman"/>
                <w:sz w:val="24"/>
                <w:lang w:val="ru-RU"/>
              </w:rPr>
            </w:pPr>
            <w:r>
              <w:rPr>
                <w:rFonts w:ascii="Times New Roman" w:hAnsi="Times New Roman" w:cs="Times New Roman"/>
                <w:sz w:val="24"/>
                <w:lang w:val="ru-RU"/>
              </w:rPr>
              <w:t>ВВП</w:t>
            </w:r>
          </w:p>
          <w:p w:rsidR="00A47A44" w:rsidRDefault="00A47A44" w:rsidP="00564734">
            <w:pPr>
              <w:pStyle w:val="TableParagraph"/>
              <w:spacing w:line="271" w:lineRule="exact"/>
              <w:ind w:left="230"/>
              <w:rPr>
                <w:rFonts w:ascii="Times New Roman" w:hAnsi="Times New Roman" w:cs="Times New Roman"/>
                <w:sz w:val="24"/>
                <w:lang w:val="ru-RU"/>
              </w:rPr>
            </w:pPr>
          </w:p>
          <w:p w:rsidR="00A47A44" w:rsidRDefault="00A47A44" w:rsidP="00564734">
            <w:pPr>
              <w:pStyle w:val="TableParagraph"/>
              <w:spacing w:line="271" w:lineRule="exact"/>
              <w:ind w:left="230"/>
              <w:rPr>
                <w:rFonts w:ascii="Times New Roman" w:hAnsi="Times New Roman" w:cs="Times New Roman"/>
                <w:sz w:val="24"/>
                <w:lang w:val="ru-RU"/>
              </w:rPr>
            </w:pP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Внутренний Валовый Продукт</w:t>
            </w:r>
          </w:p>
          <w:p w:rsidR="00A47A44" w:rsidRDefault="00A47A44" w:rsidP="00564734">
            <w:pPr>
              <w:pStyle w:val="TableParagraph"/>
              <w:spacing w:line="271" w:lineRule="exact"/>
              <w:ind w:left="540"/>
              <w:rPr>
                <w:rFonts w:ascii="Times New Roman" w:hAnsi="Times New Roman" w:cs="Times New Roman"/>
                <w:spacing w:val="-1"/>
                <w:sz w:val="24"/>
                <w:lang w:val="ru-RU"/>
              </w:rPr>
            </w:pP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ВК</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Водоснабжение</w:t>
            </w:r>
            <w:proofErr w:type="spellEnd"/>
            <w:r>
              <w:rPr>
                <w:rFonts w:ascii="Times New Roman" w:hAnsi="Times New Roman" w:cs="Times New Roman"/>
                <w:spacing w:val="1"/>
                <w:sz w:val="24"/>
              </w:rPr>
              <w:t xml:space="preserve"> </w:t>
            </w:r>
            <w:r>
              <w:rPr>
                <w:rFonts w:ascii="Times New Roman" w:hAnsi="Times New Roman" w:cs="Times New Roman"/>
                <w:sz w:val="24"/>
              </w:rPr>
              <w:t xml:space="preserve">и </w:t>
            </w:r>
            <w:proofErr w:type="spellStart"/>
            <w:r>
              <w:rPr>
                <w:rFonts w:ascii="Times New Roman" w:hAnsi="Times New Roman" w:cs="Times New Roman"/>
                <w:spacing w:val="-1"/>
                <w:sz w:val="24"/>
              </w:rPr>
              <w:t>канализация</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color w:val="0070C0"/>
                <w:sz w:val="24"/>
                <w:szCs w:val="24"/>
              </w:rPr>
            </w:pPr>
            <w:r>
              <w:rPr>
                <w:rFonts w:ascii="Times New Roman" w:hAnsi="Times New Roman" w:cs="Times New Roman"/>
                <w:sz w:val="24"/>
              </w:rPr>
              <w:t>ГААД</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Государственная</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администрация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автомобильных</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дорог</w:t>
            </w:r>
            <w:proofErr w:type="spellEnd"/>
          </w:p>
        </w:tc>
      </w:tr>
      <w:tr w:rsidR="00A47A44" w:rsidRPr="0005655F" w:rsidTr="00564734">
        <w:trPr>
          <w:trHeight w:hRule="exact" w:val="294"/>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ГУСИ</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Главное</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управление</w:t>
            </w:r>
            <w:r>
              <w:rPr>
                <w:rFonts w:ascii="Times New Roman" w:hAnsi="Times New Roman" w:cs="Times New Roman"/>
                <w:spacing w:val="-1"/>
                <w:sz w:val="24"/>
                <w:lang w:val="ro-RO"/>
              </w:rPr>
              <w:t xml:space="preserve"> </w:t>
            </w:r>
            <w:r>
              <w:rPr>
                <w:rFonts w:ascii="Times New Roman" w:hAnsi="Times New Roman" w:cs="Times New Roman"/>
                <w:spacing w:val="-1"/>
                <w:sz w:val="24"/>
                <w:lang w:val="ru-RU"/>
              </w:rPr>
              <w:t>строительства</w:t>
            </w:r>
            <w:r>
              <w:rPr>
                <w:rFonts w:ascii="Times New Roman" w:hAnsi="Times New Roman" w:cs="Times New Roman"/>
                <w:spacing w:val="1"/>
                <w:sz w:val="24"/>
                <w:lang w:val="ru-RU"/>
              </w:rPr>
              <w:t xml:space="preserve"> </w:t>
            </w:r>
            <w:r>
              <w:rPr>
                <w:rFonts w:ascii="Times New Roman" w:hAnsi="Times New Roman" w:cs="Times New Roman"/>
                <w:sz w:val="24"/>
                <w:lang w:val="ru-RU"/>
              </w:rPr>
              <w:t>и</w:t>
            </w:r>
            <w:r>
              <w:rPr>
                <w:rFonts w:ascii="Times New Roman" w:hAnsi="Times New Roman" w:cs="Times New Roman"/>
                <w:spacing w:val="-2"/>
                <w:sz w:val="24"/>
                <w:lang w:val="ru-RU"/>
              </w:rPr>
              <w:t xml:space="preserve"> </w:t>
            </w:r>
            <w:r>
              <w:rPr>
                <w:rFonts w:ascii="Times New Roman" w:hAnsi="Times New Roman" w:cs="Times New Roman"/>
                <w:spacing w:val="-1"/>
                <w:sz w:val="24"/>
                <w:lang w:val="ru-RU"/>
              </w:rPr>
              <w:t>инфраструктуры</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Гагаузии</w:t>
            </w:r>
          </w:p>
        </w:tc>
      </w:tr>
      <w:tr w:rsidR="00A47A44" w:rsidRPr="0005655F" w:rsidTr="00564734">
        <w:trPr>
          <w:trHeight w:hRule="exact" w:val="298"/>
        </w:trPr>
        <w:tc>
          <w:tcPr>
            <w:tcW w:w="1450" w:type="dxa"/>
          </w:tcPr>
          <w:p w:rsidR="00A47A44" w:rsidRDefault="00A47A44" w:rsidP="00564734">
            <w:pPr>
              <w:pStyle w:val="TableParagraph"/>
              <w:spacing w:line="272" w:lineRule="exact"/>
              <w:ind w:left="230"/>
              <w:rPr>
                <w:rFonts w:ascii="Times New Roman" w:eastAsia="Calibri" w:hAnsi="Times New Roman" w:cs="Times New Roman"/>
                <w:sz w:val="24"/>
                <w:szCs w:val="24"/>
                <w:lang w:val="ru-RU"/>
              </w:rPr>
            </w:pPr>
            <w:r>
              <w:rPr>
                <w:rFonts w:ascii="Times New Roman" w:hAnsi="Times New Roman" w:cs="Times New Roman"/>
                <w:sz w:val="24"/>
              </w:rPr>
              <w:t>ГУЭР</w:t>
            </w:r>
            <w:r>
              <w:rPr>
                <w:rFonts w:ascii="Times New Roman" w:hAnsi="Times New Roman" w:cs="Times New Roman"/>
                <w:sz w:val="24"/>
                <w:lang w:val="ru-RU"/>
              </w:rPr>
              <w:t>Т</w:t>
            </w:r>
          </w:p>
        </w:tc>
        <w:tc>
          <w:tcPr>
            <w:tcW w:w="7901" w:type="dxa"/>
          </w:tcPr>
          <w:p w:rsidR="00A47A44" w:rsidRDefault="00A47A44" w:rsidP="00564734">
            <w:pPr>
              <w:pStyle w:val="TableParagraph"/>
              <w:spacing w:line="272"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Главное</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управление</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экономического развития и туризма</w:t>
            </w:r>
            <w:r>
              <w:rPr>
                <w:rFonts w:ascii="Times New Roman" w:hAnsi="Times New Roman" w:cs="Times New Roman"/>
                <w:sz w:val="24"/>
                <w:lang w:val="ru-RU"/>
              </w:rPr>
              <w:t xml:space="preserve"> </w:t>
            </w:r>
            <w:r>
              <w:rPr>
                <w:rFonts w:ascii="Times New Roman" w:hAnsi="Times New Roman" w:cs="Times New Roman"/>
                <w:spacing w:val="-1"/>
                <w:sz w:val="24"/>
                <w:lang w:val="ru-RU"/>
              </w:rPr>
              <w:t xml:space="preserve">Гагаузии </w:t>
            </w: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lang w:val="ru-RU"/>
              </w:rPr>
            </w:pPr>
            <w:r>
              <w:rPr>
                <w:rFonts w:ascii="Times New Roman" w:hAnsi="Times New Roman" w:cs="Times New Roman"/>
                <w:spacing w:val="-1"/>
                <w:sz w:val="24"/>
              </w:rPr>
              <w:t>ДФ</w:t>
            </w:r>
            <w:r>
              <w:rPr>
                <w:rFonts w:ascii="Times New Roman" w:hAnsi="Times New Roman" w:cs="Times New Roman"/>
                <w:spacing w:val="-1"/>
                <w:sz w:val="24"/>
                <w:lang w:val="ru-RU"/>
              </w:rPr>
              <w:t>М</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Дорожный</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фонд</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Молдовы</w:t>
            </w:r>
            <w:proofErr w:type="spellEnd"/>
          </w:p>
        </w:tc>
      </w:tr>
      <w:tr w:rsidR="00A47A44" w:rsidRPr="0005655F"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ЕБРР</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Европейский</w:t>
            </w:r>
            <w:r>
              <w:rPr>
                <w:rFonts w:ascii="Times New Roman" w:hAnsi="Times New Roman" w:cs="Times New Roman"/>
                <w:sz w:val="24"/>
                <w:lang w:val="ru-RU"/>
              </w:rPr>
              <w:t xml:space="preserve"> </w:t>
            </w:r>
            <w:r w:rsidR="00FE34C6">
              <w:rPr>
                <w:rFonts w:ascii="Times New Roman" w:hAnsi="Times New Roman" w:cs="Times New Roman"/>
                <w:spacing w:val="-1"/>
                <w:sz w:val="24"/>
                <w:lang w:val="ru-RU"/>
              </w:rPr>
              <w:t>Б</w:t>
            </w:r>
            <w:r>
              <w:rPr>
                <w:rFonts w:ascii="Times New Roman" w:hAnsi="Times New Roman" w:cs="Times New Roman"/>
                <w:spacing w:val="-1"/>
                <w:sz w:val="24"/>
                <w:lang w:val="ru-RU"/>
              </w:rPr>
              <w:t>анк</w:t>
            </w:r>
            <w:r>
              <w:rPr>
                <w:rFonts w:ascii="Times New Roman" w:hAnsi="Times New Roman" w:cs="Times New Roman"/>
                <w:sz w:val="24"/>
                <w:lang w:val="ru-RU"/>
              </w:rPr>
              <w:t xml:space="preserve"> </w:t>
            </w:r>
            <w:r w:rsidR="00FE34C6">
              <w:rPr>
                <w:rFonts w:ascii="Times New Roman" w:hAnsi="Times New Roman" w:cs="Times New Roman"/>
                <w:spacing w:val="-1"/>
                <w:sz w:val="24"/>
                <w:lang w:val="ru-RU"/>
              </w:rPr>
              <w:t>Р</w:t>
            </w:r>
            <w:r>
              <w:rPr>
                <w:rFonts w:ascii="Times New Roman" w:hAnsi="Times New Roman" w:cs="Times New Roman"/>
                <w:spacing w:val="-1"/>
                <w:sz w:val="24"/>
                <w:lang w:val="ru-RU"/>
              </w:rPr>
              <w:t>еконструкции</w:t>
            </w:r>
            <w:r>
              <w:rPr>
                <w:rFonts w:ascii="Times New Roman" w:hAnsi="Times New Roman" w:cs="Times New Roman"/>
                <w:sz w:val="24"/>
                <w:lang w:val="ru-RU"/>
              </w:rPr>
              <w:t xml:space="preserve"> и </w:t>
            </w:r>
            <w:r w:rsidR="00FE34C6">
              <w:rPr>
                <w:rFonts w:ascii="Times New Roman" w:hAnsi="Times New Roman" w:cs="Times New Roman"/>
                <w:spacing w:val="-1"/>
                <w:sz w:val="24"/>
                <w:lang w:val="ru-RU"/>
              </w:rPr>
              <w:t>Р</w:t>
            </w:r>
            <w:r>
              <w:rPr>
                <w:rFonts w:ascii="Times New Roman" w:hAnsi="Times New Roman" w:cs="Times New Roman"/>
                <w:spacing w:val="-1"/>
                <w:sz w:val="24"/>
                <w:lang w:val="ru-RU"/>
              </w:rPr>
              <w:t>азвития</w:t>
            </w: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ЕИБ</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Европейский</w:t>
            </w:r>
            <w:proofErr w:type="spellEnd"/>
            <w:r>
              <w:rPr>
                <w:rFonts w:ascii="Times New Roman" w:hAnsi="Times New Roman" w:cs="Times New Roman"/>
                <w:sz w:val="24"/>
              </w:rPr>
              <w:t xml:space="preserve"> </w:t>
            </w:r>
            <w:r w:rsidR="00FE34C6">
              <w:rPr>
                <w:rFonts w:ascii="Times New Roman" w:hAnsi="Times New Roman" w:cs="Times New Roman"/>
                <w:spacing w:val="-1"/>
                <w:sz w:val="24"/>
                <w:lang w:val="ru-RU"/>
              </w:rPr>
              <w:t>И</w:t>
            </w:r>
            <w:proofErr w:type="spellStart"/>
            <w:r>
              <w:rPr>
                <w:rFonts w:ascii="Times New Roman" w:hAnsi="Times New Roman" w:cs="Times New Roman"/>
                <w:spacing w:val="-1"/>
                <w:sz w:val="24"/>
              </w:rPr>
              <w:t>нвестиционный</w:t>
            </w:r>
            <w:proofErr w:type="spellEnd"/>
            <w:r>
              <w:rPr>
                <w:rFonts w:ascii="Times New Roman" w:hAnsi="Times New Roman" w:cs="Times New Roman"/>
                <w:sz w:val="24"/>
              </w:rPr>
              <w:t xml:space="preserve"> </w:t>
            </w:r>
            <w:r w:rsidR="00FE34C6">
              <w:rPr>
                <w:rFonts w:ascii="Times New Roman" w:hAnsi="Times New Roman" w:cs="Times New Roman"/>
                <w:spacing w:val="-1"/>
                <w:sz w:val="24"/>
                <w:lang w:val="ru-RU"/>
              </w:rPr>
              <w:t>Б</w:t>
            </w:r>
            <w:proofErr w:type="spellStart"/>
            <w:r>
              <w:rPr>
                <w:rFonts w:ascii="Times New Roman" w:hAnsi="Times New Roman" w:cs="Times New Roman"/>
                <w:spacing w:val="-1"/>
                <w:sz w:val="24"/>
              </w:rPr>
              <w:t>анк</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ЕС</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Европейский</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Союз</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hAnsi="Times New Roman" w:cs="Times New Roman"/>
                <w:sz w:val="24"/>
                <w:lang w:val="ru-RU"/>
              </w:rPr>
            </w:pPr>
            <w:r>
              <w:rPr>
                <w:rFonts w:ascii="Times New Roman" w:hAnsi="Times New Roman" w:cs="Times New Roman"/>
                <w:sz w:val="24"/>
                <w:lang w:val="ru-RU"/>
              </w:rPr>
              <w:t>ЕПД</w:t>
            </w: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Единый Программный Документ</w:t>
            </w:r>
          </w:p>
        </w:tc>
      </w:tr>
      <w:tr w:rsidR="00A47A44" w:rsidTr="00564734">
        <w:trPr>
          <w:trHeight w:hRule="exact" w:val="293"/>
        </w:trPr>
        <w:tc>
          <w:tcPr>
            <w:tcW w:w="1450" w:type="dxa"/>
          </w:tcPr>
          <w:p w:rsidR="00A47A44" w:rsidRPr="00AB40DC" w:rsidRDefault="00A47A44" w:rsidP="00564734">
            <w:pPr>
              <w:pStyle w:val="TableParagraph"/>
              <w:spacing w:line="271" w:lineRule="exact"/>
              <w:ind w:left="230"/>
              <w:rPr>
                <w:rFonts w:ascii="Times New Roman" w:hAnsi="Times New Roman" w:cs="Times New Roman"/>
                <w:spacing w:val="-1"/>
                <w:sz w:val="24"/>
                <w:lang w:val="ru-RU"/>
              </w:rPr>
            </w:pPr>
            <w:r>
              <w:rPr>
                <w:rFonts w:ascii="Times New Roman" w:hAnsi="Times New Roman" w:cs="Times New Roman"/>
                <w:spacing w:val="-1"/>
                <w:sz w:val="24"/>
                <w:lang w:val="ru-RU"/>
              </w:rPr>
              <w:t>КГУ</w:t>
            </w:r>
          </w:p>
        </w:tc>
        <w:tc>
          <w:tcPr>
            <w:tcW w:w="7901" w:type="dxa"/>
          </w:tcPr>
          <w:p w:rsidR="00A47A44" w:rsidRPr="00AB40DC" w:rsidRDefault="00B10065" w:rsidP="00564734">
            <w:pPr>
              <w:pStyle w:val="TableParagraph"/>
              <w:spacing w:line="271" w:lineRule="exact"/>
              <w:ind w:left="540"/>
              <w:rPr>
                <w:rFonts w:ascii="Times New Roman" w:hAnsi="Times New Roman" w:cs="Times New Roman"/>
                <w:spacing w:val="-1"/>
                <w:sz w:val="24"/>
                <w:lang w:val="ru-RU"/>
              </w:rPr>
            </w:pPr>
            <w:proofErr w:type="spellStart"/>
            <w:r>
              <w:rPr>
                <w:rFonts w:ascii="Times New Roman" w:hAnsi="Times New Roman" w:cs="Times New Roman"/>
                <w:spacing w:val="-1"/>
                <w:sz w:val="24"/>
                <w:lang w:val="ru-RU"/>
              </w:rPr>
              <w:t>Комратский</w:t>
            </w:r>
            <w:proofErr w:type="spellEnd"/>
            <w:r>
              <w:rPr>
                <w:rFonts w:ascii="Times New Roman" w:hAnsi="Times New Roman" w:cs="Times New Roman"/>
                <w:spacing w:val="-1"/>
                <w:sz w:val="24"/>
                <w:lang w:val="ru-RU"/>
              </w:rPr>
              <w:t xml:space="preserve"> Государственный У</w:t>
            </w:r>
            <w:r w:rsidR="00A47A44">
              <w:rPr>
                <w:rFonts w:ascii="Times New Roman" w:hAnsi="Times New Roman" w:cs="Times New Roman"/>
                <w:spacing w:val="-1"/>
                <w:sz w:val="24"/>
                <w:lang w:val="ru-RU"/>
              </w:rPr>
              <w:t>ниверситет</w:t>
            </w:r>
          </w:p>
        </w:tc>
      </w:tr>
      <w:tr w:rsidR="00DF7CC4" w:rsidTr="00564734">
        <w:trPr>
          <w:trHeight w:hRule="exact" w:val="293"/>
        </w:trPr>
        <w:tc>
          <w:tcPr>
            <w:tcW w:w="1450" w:type="dxa"/>
          </w:tcPr>
          <w:p w:rsidR="00DF7CC4" w:rsidRDefault="00DF7CC4" w:rsidP="00564734">
            <w:pPr>
              <w:pStyle w:val="TableParagraph"/>
              <w:spacing w:line="271" w:lineRule="exact"/>
              <w:ind w:left="230"/>
              <w:rPr>
                <w:rFonts w:ascii="Times New Roman" w:hAnsi="Times New Roman" w:cs="Times New Roman"/>
                <w:spacing w:val="-1"/>
                <w:sz w:val="24"/>
                <w:lang w:val="ru-RU"/>
              </w:rPr>
            </w:pPr>
            <w:r>
              <w:rPr>
                <w:rFonts w:ascii="Times New Roman" w:hAnsi="Times New Roman" w:cs="Times New Roman"/>
                <w:spacing w:val="-1"/>
                <w:sz w:val="24"/>
                <w:lang w:val="ru-RU"/>
              </w:rPr>
              <w:t>КПП</w:t>
            </w:r>
          </w:p>
        </w:tc>
        <w:tc>
          <w:tcPr>
            <w:tcW w:w="7901" w:type="dxa"/>
          </w:tcPr>
          <w:p w:rsidR="00DF7CC4" w:rsidRDefault="00DF7CC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 xml:space="preserve">Контрольно- пропускные </w:t>
            </w: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ЗРР</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Закон</w:t>
            </w:r>
            <w:proofErr w:type="spellEnd"/>
            <w:r>
              <w:rPr>
                <w:rFonts w:ascii="Times New Roman" w:hAnsi="Times New Roman" w:cs="Times New Roman"/>
                <w:spacing w:val="-1"/>
                <w:sz w:val="24"/>
              </w:rPr>
              <w:t xml:space="preserve"> </w:t>
            </w:r>
            <w:r>
              <w:rPr>
                <w:rFonts w:ascii="Times New Roman" w:hAnsi="Times New Roman" w:cs="Times New Roman"/>
                <w:sz w:val="24"/>
              </w:rPr>
              <w:t>о</w:t>
            </w:r>
            <w:r>
              <w:rPr>
                <w:rFonts w:ascii="Times New Roman" w:hAnsi="Times New Roman" w:cs="Times New Roman"/>
                <w:spacing w:val="1"/>
                <w:sz w:val="24"/>
              </w:rPr>
              <w:t xml:space="preserve"> </w:t>
            </w:r>
            <w:proofErr w:type="spellStart"/>
            <w:r>
              <w:rPr>
                <w:rFonts w:ascii="Times New Roman" w:hAnsi="Times New Roman" w:cs="Times New Roman"/>
                <w:spacing w:val="-1"/>
                <w:sz w:val="24"/>
              </w:rPr>
              <w:t>региональном</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развитии</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ЗСП</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Зона</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свободного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предпринимательства</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hAnsi="Times New Roman" w:cs="Times New Roman"/>
                <w:spacing w:val="-1"/>
                <w:sz w:val="24"/>
              </w:rPr>
              <w:t>ЗЭА</w:t>
            </w:r>
          </w:p>
          <w:p w:rsidR="00A47A44" w:rsidRDefault="00A47A44" w:rsidP="00564734">
            <w:pPr>
              <w:pStyle w:val="TableParagraph"/>
              <w:spacing w:line="271" w:lineRule="exact"/>
              <w:ind w:left="230"/>
              <w:rPr>
                <w:rFonts w:ascii="Times New Roman" w:eastAsia="Calibri" w:hAnsi="Times New Roman" w:cs="Times New Roman"/>
                <w:sz w:val="24"/>
                <w:szCs w:val="24"/>
              </w:rPr>
            </w:pP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rPr>
            </w:pPr>
            <w:proofErr w:type="spellStart"/>
            <w:r>
              <w:rPr>
                <w:rFonts w:ascii="Times New Roman" w:hAnsi="Times New Roman" w:cs="Times New Roman"/>
                <w:spacing w:val="-1"/>
                <w:sz w:val="24"/>
              </w:rPr>
              <w:t>Зарегистрированные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экономические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агенты</w:t>
            </w:r>
            <w:proofErr w:type="spellEnd"/>
          </w:p>
          <w:p w:rsidR="00A47A44" w:rsidRDefault="00A47A44" w:rsidP="00564734">
            <w:pPr>
              <w:pStyle w:val="TableParagraph"/>
              <w:spacing w:line="271" w:lineRule="exact"/>
              <w:ind w:left="540"/>
              <w:rPr>
                <w:rFonts w:ascii="Times New Roman" w:hAnsi="Times New Roman" w:cs="Times New Roman"/>
                <w:spacing w:val="-1"/>
                <w:sz w:val="24"/>
              </w:rPr>
            </w:pPr>
          </w:p>
          <w:p w:rsidR="00A47A44" w:rsidRDefault="00A47A44" w:rsidP="00564734">
            <w:pPr>
              <w:pStyle w:val="TableParagraph"/>
              <w:spacing w:line="271" w:lineRule="exact"/>
              <w:ind w:left="540"/>
              <w:rPr>
                <w:rFonts w:ascii="Times New Roman" w:hAnsi="Times New Roman" w:cs="Times New Roman"/>
                <w:spacing w:val="-1"/>
                <w:sz w:val="24"/>
              </w:rPr>
            </w:pPr>
          </w:p>
          <w:p w:rsidR="00A47A44" w:rsidRDefault="00A47A44" w:rsidP="00564734">
            <w:pPr>
              <w:pStyle w:val="TableParagraph"/>
              <w:spacing w:line="271" w:lineRule="exact"/>
              <w:ind w:left="540"/>
              <w:rPr>
                <w:rFonts w:ascii="Times New Roman" w:hAnsi="Times New Roman" w:cs="Times New Roman"/>
                <w:spacing w:val="-1"/>
                <w:sz w:val="24"/>
              </w:rPr>
            </w:pPr>
          </w:p>
          <w:p w:rsidR="00A47A44" w:rsidRDefault="00A47A44" w:rsidP="00564734">
            <w:pPr>
              <w:pStyle w:val="TableParagraph"/>
              <w:spacing w:line="271" w:lineRule="exact"/>
              <w:ind w:left="540"/>
              <w:rPr>
                <w:rFonts w:ascii="Times New Roman" w:hAnsi="Times New Roman" w:cs="Times New Roman"/>
                <w:spacing w:val="-1"/>
                <w:sz w:val="24"/>
              </w:rPr>
            </w:pPr>
          </w:p>
          <w:p w:rsidR="00A47A44" w:rsidRDefault="00A47A44" w:rsidP="00564734">
            <w:pPr>
              <w:pStyle w:val="TableParagraph"/>
              <w:spacing w:line="271" w:lineRule="exact"/>
              <w:ind w:left="540"/>
              <w:rPr>
                <w:rFonts w:ascii="Times New Roman" w:eastAsia="Calibri" w:hAnsi="Times New Roman" w:cs="Times New Roman"/>
                <w:sz w:val="24"/>
                <w:szCs w:val="24"/>
              </w:rPr>
            </w:pP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ММС</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Межмуниципальное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сотрудничество</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МСП</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z w:val="24"/>
              </w:rPr>
              <w:t>Малые</w:t>
            </w:r>
            <w:proofErr w:type="spellEnd"/>
            <w:r>
              <w:rPr>
                <w:rFonts w:ascii="Times New Roman" w:hAnsi="Times New Roman" w:cs="Times New Roman"/>
                <w:spacing w:val="-1"/>
                <w:sz w:val="24"/>
              </w:rPr>
              <w:t xml:space="preserve"> </w:t>
            </w:r>
            <w:r>
              <w:rPr>
                <w:rFonts w:ascii="Times New Roman" w:hAnsi="Times New Roman" w:cs="Times New Roman"/>
                <w:sz w:val="24"/>
              </w:rPr>
              <w:t xml:space="preserve">и </w:t>
            </w:r>
            <w:proofErr w:type="spellStart"/>
            <w:r>
              <w:rPr>
                <w:rFonts w:ascii="Times New Roman" w:hAnsi="Times New Roman" w:cs="Times New Roman"/>
                <w:spacing w:val="-1"/>
                <w:sz w:val="24"/>
              </w:rPr>
              <w:t>средние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предприятия</w:t>
            </w:r>
            <w:proofErr w:type="spellEnd"/>
          </w:p>
        </w:tc>
      </w:tr>
      <w:tr w:rsidR="00A47A44" w:rsidRPr="0005655F" w:rsidTr="00564734">
        <w:trPr>
          <w:trHeight w:hRule="exact" w:val="293"/>
        </w:trPr>
        <w:tc>
          <w:tcPr>
            <w:tcW w:w="1450" w:type="dxa"/>
          </w:tcPr>
          <w:p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eastAsia="Times New Roman" w:hAnsi="Times New Roman" w:cs="Times New Roman"/>
                <w:color w:val="000000"/>
                <w:sz w:val="24"/>
                <w:szCs w:val="24"/>
                <w:lang w:val="ru-RU"/>
              </w:rPr>
              <w:t>МИРР</w:t>
            </w:r>
          </w:p>
        </w:tc>
        <w:tc>
          <w:tcPr>
            <w:tcW w:w="7901" w:type="dxa"/>
          </w:tcPr>
          <w:p w:rsidR="00A47A44" w:rsidRDefault="00A47A44" w:rsidP="00564734">
            <w:pPr>
              <w:pStyle w:val="TableParagraph"/>
              <w:spacing w:line="271" w:lineRule="exact"/>
              <w:ind w:left="540"/>
              <w:rPr>
                <w:rFonts w:ascii="Times New Roman" w:hAnsi="Times New Roman" w:cs="Times New Roman"/>
                <w:sz w:val="24"/>
                <w:lang w:val="ru-RU"/>
              </w:rPr>
            </w:pPr>
            <w:r>
              <w:rPr>
                <w:rFonts w:ascii="Times New Roman" w:hAnsi="Times New Roman" w:cs="Times New Roman"/>
                <w:sz w:val="24"/>
                <w:lang w:val="ru-RU"/>
              </w:rPr>
              <w:t>Министерство Инфраструктуры и Регионального Развития</w:t>
            </w:r>
          </w:p>
        </w:tc>
      </w:tr>
      <w:tr w:rsidR="00A47A44" w:rsidRPr="0005655F" w:rsidTr="00564734">
        <w:trPr>
          <w:trHeight w:hRule="exact" w:val="293"/>
        </w:trPr>
        <w:tc>
          <w:tcPr>
            <w:tcW w:w="1450" w:type="dxa"/>
          </w:tcPr>
          <w:p w:rsidR="00A47A44" w:rsidRPr="009E60B2" w:rsidRDefault="00A47A44" w:rsidP="00564734">
            <w:pPr>
              <w:pStyle w:val="TableParagraph"/>
              <w:spacing w:line="271" w:lineRule="exact"/>
              <w:ind w:left="230"/>
              <w:rPr>
                <w:rFonts w:ascii="Times New Roman" w:eastAsia="Calibri" w:hAnsi="Times New Roman" w:cs="Times New Roman"/>
                <w:sz w:val="24"/>
                <w:szCs w:val="24"/>
                <w:lang w:val="ru-RU"/>
              </w:rPr>
            </w:pPr>
            <w:r>
              <w:rPr>
                <w:rFonts w:ascii="Times New Roman" w:hAnsi="Times New Roman" w:cs="Times New Roman"/>
                <w:spacing w:val="1"/>
                <w:sz w:val="24"/>
              </w:rPr>
              <w:t>МЭ</w:t>
            </w:r>
            <w:r w:rsidR="009E60B2">
              <w:rPr>
                <w:rFonts w:ascii="Times New Roman" w:hAnsi="Times New Roman" w:cs="Times New Roman"/>
                <w:spacing w:val="1"/>
                <w:sz w:val="24"/>
                <w:lang w:val="ru-RU"/>
              </w:rPr>
              <w:t>РЦ</w:t>
            </w:r>
          </w:p>
        </w:tc>
        <w:tc>
          <w:tcPr>
            <w:tcW w:w="7901" w:type="dxa"/>
          </w:tcPr>
          <w:p w:rsidR="00A47A44" w:rsidRPr="009E60B2" w:rsidRDefault="00A47A44" w:rsidP="00564734">
            <w:pPr>
              <w:pStyle w:val="TableParagraph"/>
              <w:spacing w:line="271" w:lineRule="exact"/>
              <w:ind w:left="540"/>
              <w:rPr>
                <w:rFonts w:ascii="Times New Roman" w:eastAsia="Calibri" w:hAnsi="Times New Roman" w:cs="Times New Roman"/>
                <w:sz w:val="24"/>
                <w:szCs w:val="24"/>
                <w:lang w:val="ru-RU"/>
              </w:rPr>
            </w:pPr>
            <w:r w:rsidRPr="009E60B2">
              <w:rPr>
                <w:rFonts w:ascii="Times New Roman" w:hAnsi="Times New Roman" w:cs="Times New Roman"/>
                <w:spacing w:val="-1"/>
                <w:sz w:val="24"/>
                <w:lang w:val="ru-RU"/>
              </w:rPr>
              <w:t>Министерство</w:t>
            </w:r>
            <w:r w:rsidRPr="009E60B2">
              <w:rPr>
                <w:rFonts w:ascii="Times New Roman" w:hAnsi="Times New Roman" w:cs="Times New Roman"/>
                <w:spacing w:val="1"/>
                <w:sz w:val="24"/>
                <w:lang w:val="ru-RU"/>
              </w:rPr>
              <w:t xml:space="preserve"> </w:t>
            </w:r>
            <w:r w:rsidR="009E60B2" w:rsidRPr="009E60B2">
              <w:rPr>
                <w:rFonts w:ascii="Times New Roman" w:hAnsi="Times New Roman" w:cs="Times New Roman"/>
                <w:spacing w:val="-1"/>
                <w:sz w:val="24"/>
                <w:lang w:val="ru-RU"/>
              </w:rPr>
              <w:t>экономи</w:t>
            </w:r>
            <w:r w:rsidR="009E60B2">
              <w:rPr>
                <w:rFonts w:ascii="Times New Roman" w:hAnsi="Times New Roman" w:cs="Times New Roman"/>
                <w:spacing w:val="-1"/>
                <w:sz w:val="24"/>
                <w:lang w:val="ru-RU"/>
              </w:rPr>
              <w:t>ческого развития и цифровизации</w:t>
            </w:r>
          </w:p>
        </w:tc>
      </w:tr>
      <w:tr w:rsidR="00A47A44" w:rsidTr="00564734">
        <w:trPr>
          <w:trHeight w:hRule="exact" w:val="294"/>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НБС</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Национальное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бюро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статистики</w:t>
            </w:r>
            <w:proofErr w:type="spellEnd"/>
          </w:p>
        </w:tc>
      </w:tr>
      <w:tr w:rsidR="00A47A44" w:rsidRPr="004676B6" w:rsidTr="00564734">
        <w:trPr>
          <w:trHeight w:hRule="exact" w:val="294"/>
        </w:trPr>
        <w:tc>
          <w:tcPr>
            <w:tcW w:w="1450" w:type="dxa"/>
          </w:tcPr>
          <w:p w:rsidR="00A47A44" w:rsidRDefault="00A47A44" w:rsidP="00564734">
            <w:pPr>
              <w:pStyle w:val="TableParagraph"/>
              <w:spacing w:line="272" w:lineRule="exact"/>
              <w:ind w:left="230"/>
              <w:rPr>
                <w:rFonts w:ascii="Times New Roman" w:eastAsia="Calibri" w:hAnsi="Times New Roman" w:cs="Times New Roman"/>
                <w:sz w:val="24"/>
                <w:szCs w:val="24"/>
              </w:rPr>
            </w:pPr>
            <w:r>
              <w:rPr>
                <w:rFonts w:ascii="Times New Roman" w:hAnsi="Times New Roman" w:cs="Times New Roman"/>
                <w:spacing w:val="-1"/>
                <w:sz w:val="24"/>
              </w:rPr>
              <w:t>НКСР</w:t>
            </w:r>
            <w:r w:rsidR="00B10065">
              <w:rPr>
                <w:rFonts w:ascii="Times New Roman" w:hAnsi="Times New Roman" w:cs="Times New Roman"/>
                <w:spacing w:val="-1"/>
                <w:sz w:val="24"/>
                <w:lang w:val="ru-RU"/>
              </w:rPr>
              <w:t>М</w:t>
            </w:r>
            <w:r>
              <w:rPr>
                <w:rFonts w:ascii="Times New Roman" w:hAnsi="Times New Roman" w:cs="Times New Roman"/>
                <w:spacing w:val="-1"/>
                <w:sz w:val="24"/>
              </w:rPr>
              <w:t>Р</w:t>
            </w:r>
          </w:p>
        </w:tc>
        <w:tc>
          <w:tcPr>
            <w:tcW w:w="7901" w:type="dxa"/>
          </w:tcPr>
          <w:p w:rsidR="00B10065" w:rsidRDefault="00A47A44" w:rsidP="00564734">
            <w:pPr>
              <w:pStyle w:val="TableParagraph"/>
              <w:spacing w:line="272" w:lineRule="exact"/>
              <w:ind w:left="540"/>
              <w:rPr>
                <w:rFonts w:ascii="Times New Roman" w:hAnsi="Times New Roman" w:cs="Times New Roman"/>
                <w:sz w:val="24"/>
                <w:lang w:val="ru-RU"/>
              </w:rPr>
            </w:pPr>
            <w:r>
              <w:rPr>
                <w:rFonts w:ascii="Times New Roman" w:hAnsi="Times New Roman" w:cs="Times New Roman"/>
                <w:spacing w:val="-1"/>
                <w:sz w:val="24"/>
                <w:lang w:val="ru-RU"/>
              </w:rPr>
              <w:t>Национальный</w:t>
            </w:r>
            <w:r>
              <w:rPr>
                <w:rFonts w:ascii="Times New Roman" w:hAnsi="Times New Roman" w:cs="Times New Roman"/>
                <w:sz w:val="24"/>
                <w:lang w:val="ru-RU"/>
              </w:rPr>
              <w:t xml:space="preserve"> </w:t>
            </w:r>
            <w:r>
              <w:rPr>
                <w:rFonts w:ascii="Times New Roman" w:hAnsi="Times New Roman" w:cs="Times New Roman"/>
                <w:spacing w:val="-1"/>
                <w:sz w:val="24"/>
                <w:lang w:val="ru-RU"/>
              </w:rPr>
              <w:t>координационный</w:t>
            </w:r>
            <w:r>
              <w:rPr>
                <w:rFonts w:ascii="Times New Roman" w:hAnsi="Times New Roman" w:cs="Times New Roman"/>
                <w:sz w:val="24"/>
                <w:lang w:val="ru-RU"/>
              </w:rPr>
              <w:t xml:space="preserve"> </w:t>
            </w:r>
            <w:r>
              <w:rPr>
                <w:rFonts w:ascii="Times New Roman" w:hAnsi="Times New Roman" w:cs="Times New Roman"/>
                <w:spacing w:val="-1"/>
                <w:sz w:val="24"/>
                <w:lang w:val="ru-RU"/>
              </w:rPr>
              <w:t>совет</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по</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региональному</w:t>
            </w:r>
            <w:r w:rsidR="00B10065">
              <w:rPr>
                <w:rFonts w:ascii="Times New Roman" w:hAnsi="Times New Roman" w:cs="Times New Roman"/>
                <w:spacing w:val="-1"/>
                <w:sz w:val="24"/>
                <w:lang w:val="ru-RU"/>
              </w:rPr>
              <w:t xml:space="preserve"> и </w:t>
            </w:r>
          </w:p>
          <w:p w:rsidR="00A47A44" w:rsidRDefault="00A47A44" w:rsidP="00564734">
            <w:pPr>
              <w:pStyle w:val="TableParagraph"/>
              <w:spacing w:line="272"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развитию</w:t>
            </w:r>
          </w:p>
        </w:tc>
      </w:tr>
      <w:tr w:rsidR="00B10065" w:rsidRPr="004676B6" w:rsidTr="00564734">
        <w:trPr>
          <w:trHeight w:hRule="exact" w:val="294"/>
        </w:trPr>
        <w:tc>
          <w:tcPr>
            <w:tcW w:w="1450" w:type="dxa"/>
          </w:tcPr>
          <w:p w:rsidR="00B10065" w:rsidRDefault="00B10065" w:rsidP="00564734">
            <w:pPr>
              <w:pStyle w:val="TableParagraph"/>
              <w:spacing w:line="272" w:lineRule="exact"/>
              <w:ind w:left="230"/>
              <w:rPr>
                <w:rFonts w:ascii="Times New Roman" w:hAnsi="Times New Roman" w:cs="Times New Roman"/>
                <w:spacing w:val="-1"/>
                <w:sz w:val="24"/>
              </w:rPr>
            </w:pPr>
          </w:p>
        </w:tc>
        <w:tc>
          <w:tcPr>
            <w:tcW w:w="7901" w:type="dxa"/>
          </w:tcPr>
          <w:p w:rsidR="00B10065" w:rsidRDefault="00B10065" w:rsidP="00564734">
            <w:pPr>
              <w:pStyle w:val="TableParagraph"/>
              <w:spacing w:line="272"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местному развитию</w:t>
            </w:r>
          </w:p>
        </w:tc>
      </w:tr>
      <w:tr w:rsidR="00A47A44" w:rsidTr="00564734">
        <w:trPr>
          <w:trHeight w:hRule="exact" w:val="294"/>
        </w:trPr>
        <w:tc>
          <w:tcPr>
            <w:tcW w:w="1450" w:type="dxa"/>
          </w:tcPr>
          <w:p w:rsidR="00A47A44" w:rsidRDefault="00A47A44" w:rsidP="00564734">
            <w:pPr>
              <w:pStyle w:val="TableParagraph"/>
              <w:spacing w:line="272" w:lineRule="exact"/>
              <w:ind w:left="230"/>
              <w:rPr>
                <w:rFonts w:ascii="Times New Roman" w:hAnsi="Times New Roman" w:cs="Times New Roman"/>
                <w:spacing w:val="-1"/>
                <w:sz w:val="24"/>
              </w:rPr>
            </w:pPr>
            <w:r>
              <w:rPr>
                <w:rFonts w:ascii="Times New Roman" w:eastAsia="Times New Roman" w:hAnsi="Times New Roman" w:cs="Times New Roman"/>
                <w:color w:val="161716"/>
                <w:sz w:val="24"/>
                <w:szCs w:val="24"/>
                <w:lang w:val="ru-RU"/>
              </w:rPr>
              <w:t>НСРР</w:t>
            </w:r>
          </w:p>
        </w:tc>
        <w:tc>
          <w:tcPr>
            <w:tcW w:w="7901" w:type="dxa"/>
          </w:tcPr>
          <w:p w:rsidR="00A47A44" w:rsidRDefault="00A47A44" w:rsidP="00564734">
            <w:pPr>
              <w:pStyle w:val="TableParagraph"/>
              <w:spacing w:line="272"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 xml:space="preserve">Национальная Стратегия Регионального Развития </w:t>
            </w: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НПО</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Неправительственн</w:t>
            </w:r>
            <w:r>
              <w:rPr>
                <w:rFonts w:ascii="Times New Roman" w:hAnsi="Times New Roman" w:cs="Times New Roman"/>
                <w:spacing w:val="-1"/>
                <w:sz w:val="24"/>
                <w:lang w:val="ru-RU"/>
              </w:rPr>
              <w:t>ые</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организация</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НСГ</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Народное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Собрание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Гагаузии</w:t>
            </w:r>
            <w:proofErr w:type="spellEnd"/>
          </w:p>
        </w:tc>
      </w:tr>
      <w:tr w:rsidR="00A47A44" w:rsidRPr="0005655F"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НФР</w:t>
            </w:r>
            <w:r>
              <w:rPr>
                <w:rFonts w:ascii="Times New Roman" w:hAnsi="Times New Roman" w:cs="Times New Roman"/>
                <w:spacing w:val="-1"/>
                <w:sz w:val="24"/>
                <w:lang w:val="ro-MD"/>
              </w:rPr>
              <w:t>M</w:t>
            </w:r>
            <w:r>
              <w:rPr>
                <w:rFonts w:ascii="Times New Roman" w:hAnsi="Times New Roman" w:cs="Times New Roman"/>
                <w:spacing w:val="-1"/>
                <w:sz w:val="24"/>
              </w:rPr>
              <w:t>Р</w:t>
            </w:r>
          </w:p>
        </w:tc>
        <w:tc>
          <w:tcPr>
            <w:tcW w:w="7901" w:type="dxa"/>
          </w:tcPr>
          <w:p w:rsidR="00A47A44" w:rsidRPr="000A065C" w:rsidRDefault="00A47A44" w:rsidP="00564734">
            <w:pPr>
              <w:pStyle w:val="TableParagraph"/>
              <w:spacing w:line="271" w:lineRule="exact"/>
              <w:ind w:left="540"/>
              <w:rPr>
                <w:rFonts w:ascii="Times New Roman" w:eastAsia="Calibri" w:hAnsi="Times New Roman" w:cs="Times New Roman"/>
                <w:sz w:val="24"/>
                <w:szCs w:val="24"/>
                <w:lang w:val="ru-RU"/>
              </w:rPr>
            </w:pPr>
            <w:r w:rsidRPr="000A065C">
              <w:rPr>
                <w:rFonts w:ascii="Times New Roman" w:hAnsi="Times New Roman" w:cs="Times New Roman"/>
                <w:spacing w:val="-1"/>
                <w:sz w:val="24"/>
                <w:lang w:val="ru-RU"/>
              </w:rPr>
              <w:t>Национальный</w:t>
            </w:r>
            <w:r w:rsidRPr="000A065C">
              <w:rPr>
                <w:rFonts w:ascii="Times New Roman" w:hAnsi="Times New Roman" w:cs="Times New Roman"/>
                <w:sz w:val="24"/>
                <w:lang w:val="ru-RU"/>
              </w:rPr>
              <w:t xml:space="preserve"> </w:t>
            </w:r>
            <w:r w:rsidR="00FE34C6">
              <w:rPr>
                <w:rFonts w:ascii="Times New Roman" w:hAnsi="Times New Roman" w:cs="Times New Roman"/>
                <w:spacing w:val="-1"/>
                <w:sz w:val="24"/>
                <w:lang w:val="ru-RU"/>
              </w:rPr>
              <w:t>Ф</w:t>
            </w:r>
            <w:r w:rsidRPr="000A065C">
              <w:rPr>
                <w:rFonts w:ascii="Times New Roman" w:hAnsi="Times New Roman" w:cs="Times New Roman"/>
                <w:spacing w:val="-1"/>
                <w:sz w:val="24"/>
                <w:lang w:val="ru-RU"/>
              </w:rPr>
              <w:t>онд</w:t>
            </w:r>
            <w:r w:rsidRPr="000A065C">
              <w:rPr>
                <w:rFonts w:ascii="Times New Roman" w:hAnsi="Times New Roman" w:cs="Times New Roman"/>
                <w:spacing w:val="1"/>
                <w:sz w:val="24"/>
                <w:lang w:val="ru-RU"/>
              </w:rPr>
              <w:t xml:space="preserve"> </w:t>
            </w:r>
            <w:r w:rsidR="00FE34C6">
              <w:rPr>
                <w:rFonts w:ascii="Times New Roman" w:hAnsi="Times New Roman" w:cs="Times New Roman"/>
                <w:spacing w:val="-1"/>
                <w:sz w:val="24"/>
                <w:lang w:val="ru-RU"/>
              </w:rPr>
              <w:t>Р</w:t>
            </w:r>
            <w:r w:rsidRPr="000A065C">
              <w:rPr>
                <w:rFonts w:ascii="Times New Roman" w:hAnsi="Times New Roman" w:cs="Times New Roman"/>
                <w:spacing w:val="-1"/>
                <w:sz w:val="24"/>
                <w:lang w:val="ru-RU"/>
              </w:rPr>
              <w:t>егионального</w:t>
            </w:r>
            <w:r>
              <w:rPr>
                <w:rFonts w:ascii="Times New Roman" w:hAnsi="Times New Roman" w:cs="Times New Roman"/>
                <w:spacing w:val="-1"/>
                <w:sz w:val="24"/>
                <w:lang w:val="ru-RU"/>
              </w:rPr>
              <w:t xml:space="preserve"> и </w:t>
            </w:r>
            <w:r w:rsidR="00FE34C6">
              <w:rPr>
                <w:rFonts w:ascii="Times New Roman" w:hAnsi="Times New Roman" w:cs="Times New Roman"/>
                <w:spacing w:val="-1"/>
                <w:sz w:val="24"/>
                <w:lang w:val="ru-RU"/>
              </w:rPr>
              <w:t>М</w:t>
            </w:r>
            <w:r>
              <w:rPr>
                <w:rFonts w:ascii="Times New Roman" w:hAnsi="Times New Roman" w:cs="Times New Roman"/>
                <w:spacing w:val="-1"/>
                <w:sz w:val="24"/>
                <w:lang w:val="ru-RU"/>
              </w:rPr>
              <w:t>естного</w:t>
            </w:r>
            <w:r w:rsidRPr="000A065C">
              <w:rPr>
                <w:rFonts w:ascii="Times New Roman" w:hAnsi="Times New Roman" w:cs="Times New Roman"/>
                <w:spacing w:val="-1"/>
                <w:sz w:val="24"/>
                <w:lang w:val="ru-RU"/>
              </w:rPr>
              <w:t xml:space="preserve"> </w:t>
            </w:r>
            <w:r w:rsidR="00FE34C6">
              <w:rPr>
                <w:rFonts w:ascii="Times New Roman" w:hAnsi="Times New Roman" w:cs="Times New Roman"/>
                <w:spacing w:val="-1"/>
                <w:sz w:val="24"/>
                <w:lang w:val="ru-RU"/>
              </w:rPr>
              <w:t>Р</w:t>
            </w:r>
            <w:r w:rsidRPr="000A065C">
              <w:rPr>
                <w:rFonts w:ascii="Times New Roman" w:hAnsi="Times New Roman" w:cs="Times New Roman"/>
                <w:spacing w:val="-1"/>
                <w:sz w:val="24"/>
                <w:lang w:val="ru-RU"/>
              </w:rPr>
              <w:t>азвития</w:t>
            </w: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ОМПУ</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Органы</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местного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публичного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управления</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eastAsia="Times New Roman" w:hAnsi="Times New Roman" w:cs="Times New Roman"/>
                <w:color w:val="000000"/>
                <w:sz w:val="24"/>
                <w:szCs w:val="24"/>
                <w:lang w:val="ru-RU"/>
              </w:rPr>
              <w:t>РВВП</w:t>
            </w: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lang w:val="ru-RU"/>
              </w:rPr>
            </w:pPr>
            <w:r>
              <w:rPr>
                <w:rFonts w:ascii="Times New Roman" w:hAnsi="Times New Roman" w:cs="Times New Roman"/>
                <w:spacing w:val="-1"/>
                <w:sz w:val="24"/>
                <w:lang w:val="ru-RU"/>
              </w:rPr>
              <w:t>Региональный Валовый Внутренний Продукт</w:t>
            </w: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РМ</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Республика</w:t>
            </w:r>
            <w:proofErr w:type="spellEnd"/>
            <w:r>
              <w:rPr>
                <w:rFonts w:ascii="Times New Roman" w:hAnsi="Times New Roman" w:cs="Times New Roman"/>
                <w:spacing w:val="1"/>
                <w:sz w:val="24"/>
              </w:rPr>
              <w:t xml:space="preserve"> </w:t>
            </w:r>
            <w:proofErr w:type="spellStart"/>
            <w:r>
              <w:rPr>
                <w:rFonts w:ascii="Times New Roman" w:hAnsi="Times New Roman" w:cs="Times New Roman"/>
                <w:sz w:val="24"/>
              </w:rPr>
              <w:t>Молдова</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РОП</w:t>
            </w: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rPr>
            </w:pPr>
            <w:proofErr w:type="spellStart"/>
            <w:r>
              <w:rPr>
                <w:rFonts w:ascii="Times New Roman" w:hAnsi="Times New Roman" w:cs="Times New Roman"/>
                <w:spacing w:val="-1"/>
                <w:sz w:val="24"/>
              </w:rPr>
              <w:t>Региональная</w:t>
            </w:r>
            <w:proofErr w:type="spellEnd"/>
            <w:r>
              <w:rPr>
                <w:rFonts w:ascii="Times New Roman" w:hAnsi="Times New Roman" w:cs="Times New Roman"/>
                <w:sz w:val="24"/>
              </w:rPr>
              <w:t xml:space="preserve"> </w:t>
            </w:r>
            <w:r w:rsidR="00FE34C6">
              <w:rPr>
                <w:rFonts w:ascii="Times New Roman" w:hAnsi="Times New Roman" w:cs="Times New Roman"/>
                <w:spacing w:val="-1"/>
                <w:sz w:val="24"/>
                <w:lang w:val="ru-RU"/>
              </w:rPr>
              <w:t>О</w:t>
            </w:r>
            <w:proofErr w:type="spellStart"/>
            <w:r>
              <w:rPr>
                <w:rFonts w:ascii="Times New Roman" w:hAnsi="Times New Roman" w:cs="Times New Roman"/>
                <w:spacing w:val="-1"/>
                <w:sz w:val="24"/>
              </w:rPr>
              <w:t>пера</w:t>
            </w:r>
            <w:r w:rsidR="00F70993">
              <w:rPr>
                <w:rFonts w:ascii="Times New Roman" w:hAnsi="Times New Roman" w:cs="Times New Roman"/>
                <w:spacing w:val="-1"/>
                <w:sz w:val="24"/>
                <w:lang w:val="ru-RU"/>
              </w:rPr>
              <w:t>цион</w:t>
            </w:r>
            <w:r>
              <w:rPr>
                <w:rFonts w:ascii="Times New Roman" w:hAnsi="Times New Roman" w:cs="Times New Roman"/>
                <w:spacing w:val="-1"/>
                <w:sz w:val="24"/>
              </w:rPr>
              <w:t>ная</w:t>
            </w:r>
            <w:proofErr w:type="spellEnd"/>
            <w:r>
              <w:rPr>
                <w:rFonts w:ascii="Times New Roman" w:hAnsi="Times New Roman" w:cs="Times New Roman"/>
                <w:sz w:val="24"/>
              </w:rPr>
              <w:t xml:space="preserve"> </w:t>
            </w:r>
            <w:r w:rsidR="00FE34C6">
              <w:rPr>
                <w:rFonts w:ascii="Times New Roman" w:hAnsi="Times New Roman" w:cs="Times New Roman"/>
                <w:spacing w:val="-1"/>
                <w:sz w:val="24"/>
                <w:lang w:val="ru-RU"/>
              </w:rPr>
              <w:t>П</w:t>
            </w:r>
            <w:proofErr w:type="spellStart"/>
            <w:r>
              <w:rPr>
                <w:rFonts w:ascii="Times New Roman" w:hAnsi="Times New Roman" w:cs="Times New Roman"/>
                <w:spacing w:val="-1"/>
                <w:sz w:val="24"/>
              </w:rPr>
              <w:t>рограмма</w:t>
            </w:r>
            <w:proofErr w:type="spellEnd"/>
          </w:p>
          <w:p w:rsidR="00A47A44" w:rsidRDefault="00A47A44" w:rsidP="00564734">
            <w:pPr>
              <w:pStyle w:val="TableParagraph"/>
              <w:spacing w:line="271" w:lineRule="exact"/>
              <w:ind w:left="540"/>
              <w:rPr>
                <w:rFonts w:ascii="Times New Roman" w:eastAsia="Calibri" w:hAnsi="Times New Roman" w:cs="Times New Roman"/>
                <w:sz w:val="24"/>
                <w:szCs w:val="24"/>
              </w:rPr>
            </w:pPr>
          </w:p>
        </w:tc>
      </w:tr>
      <w:tr w:rsidR="00A47A44" w:rsidRPr="00FE34C6" w:rsidTr="00564734">
        <w:trPr>
          <w:trHeight w:hRule="exact" w:val="293"/>
        </w:trPr>
        <w:tc>
          <w:tcPr>
            <w:tcW w:w="1450" w:type="dxa"/>
          </w:tcPr>
          <w:p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eastAsia="Times New Roman" w:hAnsi="Times New Roman" w:cs="Times New Roman"/>
                <w:color w:val="000000"/>
                <w:sz w:val="24"/>
                <w:szCs w:val="24"/>
                <w:lang w:val="ru-RU"/>
              </w:rPr>
              <w:t>РОПГ</w:t>
            </w: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lang w:val="ru-RU"/>
              </w:rPr>
            </w:pPr>
            <w:r w:rsidRPr="00F70993">
              <w:rPr>
                <w:rFonts w:ascii="Times New Roman" w:hAnsi="Times New Roman" w:cs="Times New Roman"/>
                <w:spacing w:val="-1"/>
                <w:sz w:val="24"/>
                <w:lang w:val="ru-RU"/>
              </w:rPr>
              <w:t>Региональная</w:t>
            </w:r>
            <w:r w:rsidRPr="00F70993">
              <w:rPr>
                <w:rFonts w:ascii="Times New Roman" w:hAnsi="Times New Roman" w:cs="Times New Roman"/>
                <w:sz w:val="24"/>
                <w:lang w:val="ru-RU"/>
              </w:rPr>
              <w:t xml:space="preserve"> </w:t>
            </w:r>
            <w:r w:rsidR="00FE34C6">
              <w:rPr>
                <w:rFonts w:ascii="Times New Roman" w:hAnsi="Times New Roman" w:cs="Times New Roman"/>
                <w:spacing w:val="-1"/>
                <w:sz w:val="24"/>
                <w:lang w:val="ru-RU"/>
              </w:rPr>
              <w:t>О</w:t>
            </w:r>
            <w:r w:rsidRPr="00F70993">
              <w:rPr>
                <w:rFonts w:ascii="Times New Roman" w:hAnsi="Times New Roman" w:cs="Times New Roman"/>
                <w:spacing w:val="-1"/>
                <w:sz w:val="24"/>
                <w:lang w:val="ru-RU"/>
              </w:rPr>
              <w:t>пера</w:t>
            </w:r>
            <w:r w:rsidR="00F70993">
              <w:rPr>
                <w:rFonts w:ascii="Times New Roman" w:hAnsi="Times New Roman" w:cs="Times New Roman"/>
                <w:spacing w:val="-1"/>
                <w:sz w:val="24"/>
                <w:lang w:val="ru-RU"/>
              </w:rPr>
              <w:t>цион</w:t>
            </w:r>
            <w:r w:rsidRPr="00F70993">
              <w:rPr>
                <w:rFonts w:ascii="Times New Roman" w:hAnsi="Times New Roman" w:cs="Times New Roman"/>
                <w:spacing w:val="-1"/>
                <w:sz w:val="24"/>
                <w:lang w:val="ru-RU"/>
              </w:rPr>
              <w:t>ная</w:t>
            </w:r>
            <w:r w:rsidRPr="00F70993">
              <w:rPr>
                <w:rFonts w:ascii="Times New Roman" w:hAnsi="Times New Roman" w:cs="Times New Roman"/>
                <w:sz w:val="24"/>
                <w:lang w:val="ru-RU"/>
              </w:rPr>
              <w:t xml:space="preserve"> </w:t>
            </w:r>
            <w:r w:rsidR="00FE34C6">
              <w:rPr>
                <w:rFonts w:ascii="Times New Roman" w:hAnsi="Times New Roman" w:cs="Times New Roman"/>
                <w:spacing w:val="-1"/>
                <w:sz w:val="24"/>
                <w:lang w:val="ru-RU"/>
              </w:rPr>
              <w:t>П</w:t>
            </w:r>
            <w:r w:rsidRPr="00F70993">
              <w:rPr>
                <w:rFonts w:ascii="Times New Roman" w:hAnsi="Times New Roman" w:cs="Times New Roman"/>
                <w:spacing w:val="-1"/>
                <w:sz w:val="24"/>
                <w:lang w:val="ru-RU"/>
              </w:rPr>
              <w:t>рограмма</w:t>
            </w:r>
            <w:r>
              <w:rPr>
                <w:rFonts w:ascii="Times New Roman" w:hAnsi="Times New Roman" w:cs="Times New Roman"/>
                <w:spacing w:val="-1"/>
                <w:sz w:val="24"/>
                <w:lang w:val="ru-RU"/>
              </w:rPr>
              <w:t xml:space="preserve"> АТО Гагаузия</w:t>
            </w:r>
          </w:p>
          <w:p w:rsidR="00A47A44" w:rsidRPr="00F70993" w:rsidRDefault="00A47A44" w:rsidP="00564734">
            <w:pPr>
              <w:pStyle w:val="TableParagraph"/>
              <w:spacing w:line="271" w:lineRule="exact"/>
              <w:ind w:left="540"/>
              <w:rPr>
                <w:rFonts w:ascii="Times New Roman" w:hAnsi="Times New Roman" w:cs="Times New Roman"/>
                <w:spacing w:val="-1"/>
                <w:sz w:val="24"/>
                <w:lang w:val="ru-RU"/>
              </w:rPr>
            </w:pP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РРГ</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ATO </w:t>
            </w:r>
            <w:proofErr w:type="spellStart"/>
            <w:r>
              <w:rPr>
                <w:rFonts w:ascii="Times New Roman" w:hAnsi="Times New Roman" w:cs="Times New Roman"/>
                <w:spacing w:val="-1"/>
                <w:sz w:val="24"/>
              </w:rPr>
              <w:t>Гагаузия</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РРК</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Кишинэу</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РРС</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Север</w:t>
            </w:r>
            <w:proofErr w:type="spellEnd"/>
            <w:r>
              <w:rPr>
                <w:rFonts w:ascii="Times New Roman" w:hAnsi="Times New Roman" w:cs="Times New Roman"/>
                <w:spacing w:val="-1"/>
                <w:sz w:val="24"/>
              </w:rPr>
              <w:t xml:space="preserve"> </w:t>
            </w:r>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РРЦ</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Центр</w:t>
            </w:r>
            <w:proofErr w:type="spellEnd"/>
          </w:p>
        </w:tc>
      </w:tr>
      <w:tr w:rsidR="00A47A44" w:rsidTr="00564734">
        <w:trPr>
          <w:trHeight w:hRule="exact" w:val="294"/>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РРЮ</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w:t>
            </w:r>
            <w:proofErr w:type="spellEnd"/>
            <w:r>
              <w:rPr>
                <w:rFonts w:ascii="Times New Roman" w:hAnsi="Times New Roman" w:cs="Times New Roman"/>
                <w:spacing w:val="-3"/>
                <w:sz w:val="24"/>
              </w:rPr>
              <w:t xml:space="preserve"> </w:t>
            </w:r>
            <w:proofErr w:type="spellStart"/>
            <w:r>
              <w:rPr>
                <w:rFonts w:ascii="Times New Roman" w:hAnsi="Times New Roman" w:cs="Times New Roman"/>
                <w:spacing w:val="-1"/>
                <w:sz w:val="24"/>
              </w:rPr>
              <w:t>развития</w:t>
            </w:r>
            <w:proofErr w:type="spellEnd"/>
            <w:r>
              <w:rPr>
                <w:rFonts w:ascii="Times New Roman" w:hAnsi="Times New Roman" w:cs="Times New Roman"/>
                <w:sz w:val="24"/>
              </w:rPr>
              <w:t xml:space="preserve"> </w:t>
            </w:r>
            <w:proofErr w:type="spellStart"/>
            <w:r>
              <w:rPr>
                <w:rFonts w:ascii="Times New Roman" w:hAnsi="Times New Roman" w:cs="Times New Roman"/>
                <w:sz w:val="24"/>
              </w:rPr>
              <w:t>Юг</w:t>
            </w:r>
            <w:proofErr w:type="spellEnd"/>
          </w:p>
        </w:tc>
      </w:tr>
      <w:tr w:rsidR="00A47A44" w:rsidTr="00564734">
        <w:trPr>
          <w:trHeight w:hRule="exact" w:val="294"/>
        </w:trPr>
        <w:tc>
          <w:tcPr>
            <w:tcW w:w="1450" w:type="dxa"/>
          </w:tcPr>
          <w:p w:rsidR="00A47A44" w:rsidRDefault="00A47A44" w:rsidP="00564734">
            <w:pPr>
              <w:pStyle w:val="TableParagraph"/>
              <w:spacing w:line="272" w:lineRule="exact"/>
              <w:ind w:left="230"/>
              <w:rPr>
                <w:rFonts w:ascii="Times New Roman" w:eastAsia="Calibri" w:hAnsi="Times New Roman" w:cs="Times New Roman"/>
                <w:sz w:val="24"/>
                <w:szCs w:val="24"/>
              </w:rPr>
            </w:pPr>
            <w:r>
              <w:rPr>
                <w:rFonts w:ascii="Times New Roman" w:hAnsi="Times New Roman" w:cs="Times New Roman"/>
                <w:spacing w:val="-1"/>
                <w:sz w:val="24"/>
              </w:rPr>
              <w:t>РСП</w:t>
            </w:r>
          </w:p>
        </w:tc>
        <w:tc>
          <w:tcPr>
            <w:tcW w:w="7901" w:type="dxa"/>
          </w:tcPr>
          <w:p w:rsidR="00A47A44" w:rsidRDefault="00A47A44" w:rsidP="00564734">
            <w:pPr>
              <w:pStyle w:val="TableParagraph"/>
              <w:spacing w:line="272"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Региональная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секторальная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программа</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РСР</w:t>
            </w:r>
          </w:p>
        </w:tc>
        <w:tc>
          <w:tcPr>
            <w:tcW w:w="7901" w:type="dxa"/>
          </w:tcPr>
          <w:p w:rsidR="00A47A44" w:rsidRDefault="00A47A44" w:rsidP="00564734">
            <w:pPr>
              <w:pStyle w:val="TableParagraph"/>
              <w:spacing w:line="271" w:lineRule="exact"/>
              <w:ind w:left="540"/>
              <w:rPr>
                <w:rFonts w:ascii="Times New Roman" w:eastAsia="Calibri" w:hAnsi="Times New Roman" w:cs="Times New Roman"/>
                <w:sz w:val="24"/>
                <w:szCs w:val="24"/>
              </w:rPr>
            </w:pPr>
            <w:proofErr w:type="spellStart"/>
            <w:r>
              <w:rPr>
                <w:rFonts w:ascii="Times New Roman" w:hAnsi="Times New Roman" w:cs="Times New Roman"/>
                <w:spacing w:val="-1"/>
                <w:sz w:val="24"/>
              </w:rPr>
              <w:t>Региональный</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совет</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по</w:t>
            </w:r>
            <w:proofErr w:type="spellEnd"/>
            <w:r>
              <w:rPr>
                <w:rFonts w:ascii="Times New Roman" w:hAnsi="Times New Roman" w:cs="Times New Roman"/>
                <w:spacing w:val="-4"/>
                <w:sz w:val="24"/>
              </w:rPr>
              <w:t xml:space="preserve"> </w:t>
            </w:r>
            <w:proofErr w:type="spellStart"/>
            <w:r>
              <w:rPr>
                <w:rFonts w:ascii="Times New Roman" w:hAnsi="Times New Roman" w:cs="Times New Roman"/>
                <w:spacing w:val="-1"/>
                <w:sz w:val="24"/>
              </w:rPr>
              <w:t>развитию</w:t>
            </w:r>
            <w:proofErr w:type="spellEnd"/>
          </w:p>
        </w:tc>
      </w:tr>
      <w:tr w:rsidR="00A47A44" w:rsidTr="00564734">
        <w:trPr>
          <w:trHeight w:hRule="exact" w:val="293"/>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СНГ</w:t>
            </w: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rPr>
            </w:pPr>
            <w:proofErr w:type="spellStart"/>
            <w:r>
              <w:rPr>
                <w:rFonts w:ascii="Times New Roman" w:hAnsi="Times New Roman" w:cs="Times New Roman"/>
                <w:spacing w:val="-1"/>
                <w:sz w:val="24"/>
              </w:rPr>
              <w:t>Содружество</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Независимых</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Государств</w:t>
            </w:r>
            <w:proofErr w:type="spellEnd"/>
          </w:p>
          <w:p w:rsidR="00A47A44" w:rsidRDefault="00A47A44" w:rsidP="00564734">
            <w:pPr>
              <w:pStyle w:val="TableParagraph"/>
              <w:spacing w:line="271" w:lineRule="exact"/>
              <w:ind w:left="540"/>
              <w:rPr>
                <w:rFonts w:ascii="Times New Roman" w:hAnsi="Times New Roman" w:cs="Times New Roman"/>
                <w:spacing w:val="-1"/>
                <w:sz w:val="24"/>
                <w:lang w:val="ru-RU"/>
              </w:rPr>
            </w:pPr>
          </w:p>
          <w:p w:rsidR="00A47A44" w:rsidRDefault="00A47A44" w:rsidP="00564734">
            <w:pPr>
              <w:pStyle w:val="TableParagraph"/>
              <w:spacing w:line="271" w:lineRule="exact"/>
              <w:ind w:left="540"/>
              <w:rPr>
                <w:rFonts w:ascii="Times New Roman" w:eastAsia="Calibri" w:hAnsi="Times New Roman" w:cs="Times New Roman"/>
                <w:sz w:val="24"/>
                <w:szCs w:val="24"/>
                <w:lang w:val="ru-RU"/>
              </w:rPr>
            </w:pPr>
            <w:r>
              <w:rPr>
                <w:rFonts w:ascii="Times New Roman" w:hAnsi="Times New Roman" w:cs="Times New Roman"/>
                <w:spacing w:val="-1"/>
                <w:sz w:val="24"/>
                <w:lang w:val="ru-RU"/>
              </w:rPr>
              <w:t>СНД</w:t>
            </w:r>
          </w:p>
        </w:tc>
      </w:tr>
      <w:tr w:rsidR="00A47A44" w:rsidRPr="0005655F" w:rsidTr="00564734">
        <w:trPr>
          <w:trHeight w:hRule="exact" w:val="326"/>
        </w:trPr>
        <w:tc>
          <w:tcPr>
            <w:tcW w:w="1450" w:type="dxa"/>
          </w:tcPr>
          <w:p w:rsidR="00A47A44" w:rsidRDefault="00A47A44" w:rsidP="00564734">
            <w:pPr>
              <w:pStyle w:val="TableParagraph"/>
              <w:spacing w:before="11"/>
              <w:ind w:left="230"/>
              <w:rPr>
                <w:rFonts w:ascii="Times New Roman" w:eastAsia="Calibri" w:hAnsi="Times New Roman" w:cs="Times New Roman"/>
                <w:sz w:val="24"/>
                <w:szCs w:val="24"/>
              </w:rPr>
            </w:pPr>
            <w:r>
              <w:rPr>
                <w:rFonts w:ascii="Times New Roman" w:hAnsi="Times New Roman" w:cs="Times New Roman"/>
                <w:spacing w:val="-1"/>
                <w:sz w:val="24"/>
              </w:rPr>
              <w:t>ССЭРГ</w:t>
            </w:r>
          </w:p>
        </w:tc>
        <w:tc>
          <w:tcPr>
            <w:tcW w:w="7901" w:type="dxa"/>
          </w:tcPr>
          <w:p w:rsidR="00A47A44" w:rsidRDefault="00A47A44" w:rsidP="00564734">
            <w:pPr>
              <w:pStyle w:val="TableParagraph"/>
              <w:spacing w:before="11"/>
              <w:ind w:left="567"/>
              <w:rPr>
                <w:rFonts w:ascii="Times New Roman" w:eastAsia="Calibri" w:hAnsi="Times New Roman" w:cs="Times New Roman"/>
                <w:sz w:val="24"/>
                <w:szCs w:val="24"/>
                <w:lang w:val="ru-RU"/>
              </w:rPr>
            </w:pPr>
            <w:r>
              <w:rPr>
                <w:rFonts w:ascii="Times New Roman" w:hAnsi="Times New Roman" w:cs="Times New Roman"/>
                <w:spacing w:val="-1"/>
                <w:sz w:val="24"/>
                <w:lang w:val="ru-RU"/>
              </w:rPr>
              <w:t>Стратегия</w:t>
            </w:r>
            <w:r>
              <w:rPr>
                <w:rFonts w:ascii="Times New Roman" w:hAnsi="Times New Roman" w:cs="Times New Roman"/>
                <w:sz w:val="24"/>
                <w:lang w:val="ru-RU"/>
              </w:rPr>
              <w:t xml:space="preserve"> </w:t>
            </w:r>
            <w:r>
              <w:rPr>
                <w:rFonts w:ascii="Times New Roman" w:hAnsi="Times New Roman" w:cs="Times New Roman"/>
                <w:spacing w:val="-1"/>
                <w:sz w:val="24"/>
                <w:lang w:val="ru-RU"/>
              </w:rPr>
              <w:t>социально-экономического развития</w:t>
            </w:r>
            <w:r>
              <w:rPr>
                <w:rFonts w:ascii="Times New Roman" w:hAnsi="Times New Roman" w:cs="Times New Roman"/>
                <w:sz w:val="24"/>
                <w:lang w:val="ru-RU"/>
              </w:rPr>
              <w:t xml:space="preserve"> АТО </w:t>
            </w:r>
            <w:r>
              <w:rPr>
                <w:rFonts w:ascii="Times New Roman" w:hAnsi="Times New Roman" w:cs="Times New Roman"/>
                <w:spacing w:val="-1"/>
                <w:sz w:val="24"/>
                <w:lang w:val="ru-RU"/>
              </w:rPr>
              <w:t>Гагаузия</w:t>
            </w:r>
          </w:p>
        </w:tc>
      </w:tr>
      <w:tr w:rsidR="00A47A44" w:rsidTr="00564734">
        <w:trPr>
          <w:trHeight w:hRule="exact" w:val="326"/>
        </w:trPr>
        <w:tc>
          <w:tcPr>
            <w:tcW w:w="1450" w:type="dxa"/>
          </w:tcPr>
          <w:p w:rsidR="00A47A44" w:rsidRDefault="00A47A44" w:rsidP="00564734">
            <w:pPr>
              <w:pStyle w:val="TableParagraph"/>
              <w:spacing w:line="272" w:lineRule="exact"/>
              <w:ind w:left="230"/>
              <w:rPr>
                <w:rFonts w:ascii="Times New Roman" w:eastAsia="Calibri" w:hAnsi="Times New Roman" w:cs="Times New Roman"/>
                <w:sz w:val="24"/>
                <w:szCs w:val="24"/>
              </w:rPr>
            </w:pPr>
            <w:r>
              <w:rPr>
                <w:rFonts w:ascii="Times New Roman" w:hAnsi="Times New Roman" w:cs="Times New Roman"/>
                <w:spacing w:val="-1"/>
                <w:sz w:val="24"/>
              </w:rPr>
              <w:t>ТПП</w:t>
            </w:r>
          </w:p>
        </w:tc>
        <w:tc>
          <w:tcPr>
            <w:tcW w:w="7901" w:type="dxa"/>
          </w:tcPr>
          <w:p w:rsidR="00A47A44" w:rsidRDefault="00A47A44" w:rsidP="00564734">
            <w:pPr>
              <w:pStyle w:val="TableParagraph"/>
              <w:spacing w:line="272" w:lineRule="exact"/>
              <w:ind w:left="567"/>
              <w:rPr>
                <w:rFonts w:ascii="Times New Roman" w:eastAsia="Calibri" w:hAnsi="Times New Roman" w:cs="Times New Roman"/>
                <w:sz w:val="24"/>
                <w:szCs w:val="24"/>
              </w:rPr>
            </w:pPr>
            <w:proofErr w:type="spellStart"/>
            <w:r>
              <w:rPr>
                <w:rFonts w:ascii="Times New Roman" w:hAnsi="Times New Roman" w:cs="Times New Roman"/>
                <w:spacing w:val="-1"/>
                <w:sz w:val="24"/>
              </w:rPr>
              <w:t>Торгово-промышленная</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палата</w:t>
            </w:r>
            <w:proofErr w:type="spellEnd"/>
          </w:p>
        </w:tc>
      </w:tr>
      <w:tr w:rsidR="00A47A44" w:rsidTr="00564734">
        <w:trPr>
          <w:trHeight w:hRule="exact" w:val="326"/>
        </w:trPr>
        <w:tc>
          <w:tcPr>
            <w:tcW w:w="1450" w:type="dxa"/>
          </w:tcPr>
          <w:p w:rsidR="00A47A44" w:rsidRDefault="00A47A44" w:rsidP="00564734">
            <w:pPr>
              <w:pStyle w:val="TableParagraph"/>
              <w:spacing w:line="272" w:lineRule="exact"/>
              <w:ind w:left="230"/>
              <w:rPr>
                <w:rFonts w:ascii="Times New Roman" w:hAnsi="Times New Roman" w:cs="Times New Roman"/>
                <w:spacing w:val="-1"/>
                <w:sz w:val="24"/>
              </w:rPr>
            </w:pPr>
            <w:r>
              <w:rPr>
                <w:rFonts w:ascii="Times New Roman" w:eastAsia="Times New Roman" w:hAnsi="Times New Roman" w:cs="Times New Roman"/>
                <w:color w:val="000000"/>
                <w:sz w:val="24"/>
                <w:szCs w:val="24"/>
                <w:lang w:val="ru-RU"/>
              </w:rPr>
              <w:lastRenderedPageBreak/>
              <w:t>ТБО</w:t>
            </w:r>
          </w:p>
        </w:tc>
        <w:tc>
          <w:tcPr>
            <w:tcW w:w="7901" w:type="dxa"/>
          </w:tcPr>
          <w:p w:rsidR="00A47A44" w:rsidRDefault="00B10065" w:rsidP="00564734">
            <w:pPr>
              <w:pStyle w:val="TableParagraph"/>
              <w:spacing w:line="272" w:lineRule="exact"/>
              <w:ind w:left="567"/>
              <w:rPr>
                <w:rFonts w:ascii="Times New Roman" w:hAnsi="Times New Roman" w:cs="Times New Roman"/>
                <w:spacing w:val="-1"/>
                <w:sz w:val="24"/>
                <w:lang w:val="ru-RU"/>
              </w:rPr>
            </w:pPr>
            <w:r>
              <w:rPr>
                <w:rFonts w:ascii="Times New Roman" w:hAnsi="Times New Roman" w:cs="Times New Roman"/>
                <w:spacing w:val="-1"/>
                <w:sz w:val="24"/>
                <w:lang w:val="ru-RU"/>
              </w:rPr>
              <w:t>Твё</w:t>
            </w:r>
            <w:r w:rsidR="00DF7CC4">
              <w:rPr>
                <w:rFonts w:ascii="Times New Roman" w:hAnsi="Times New Roman" w:cs="Times New Roman"/>
                <w:spacing w:val="-1"/>
                <w:sz w:val="24"/>
                <w:lang w:val="ru-RU"/>
              </w:rPr>
              <w:t>р</w:t>
            </w:r>
            <w:r w:rsidR="00A47A44">
              <w:rPr>
                <w:rFonts w:ascii="Times New Roman" w:hAnsi="Times New Roman" w:cs="Times New Roman"/>
                <w:spacing w:val="-1"/>
                <w:sz w:val="24"/>
                <w:lang w:val="ru-RU"/>
              </w:rPr>
              <w:t>д</w:t>
            </w:r>
            <w:r w:rsidR="00FE34C6">
              <w:rPr>
                <w:rFonts w:ascii="Times New Roman" w:hAnsi="Times New Roman" w:cs="Times New Roman"/>
                <w:spacing w:val="-1"/>
                <w:sz w:val="24"/>
                <w:lang w:val="ru-RU"/>
              </w:rPr>
              <w:t xml:space="preserve">ые </w:t>
            </w:r>
            <w:r w:rsidR="00A47A44">
              <w:rPr>
                <w:rFonts w:ascii="Times New Roman" w:hAnsi="Times New Roman" w:cs="Times New Roman"/>
                <w:spacing w:val="-1"/>
                <w:sz w:val="24"/>
                <w:lang w:val="ru-RU"/>
              </w:rPr>
              <w:t>бытовые отходы</w:t>
            </w:r>
          </w:p>
        </w:tc>
      </w:tr>
      <w:tr w:rsidR="00A47A44" w:rsidTr="00564734">
        <w:trPr>
          <w:trHeight w:hRule="exact" w:val="326"/>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УТБО</w:t>
            </w:r>
          </w:p>
        </w:tc>
        <w:tc>
          <w:tcPr>
            <w:tcW w:w="7901" w:type="dxa"/>
          </w:tcPr>
          <w:p w:rsidR="00A47A44" w:rsidRDefault="00A47A44" w:rsidP="00564734">
            <w:pPr>
              <w:pStyle w:val="TableParagraph"/>
              <w:spacing w:line="271" w:lineRule="exact"/>
              <w:ind w:left="567"/>
              <w:rPr>
                <w:rFonts w:ascii="Times New Roman" w:eastAsia="Calibri" w:hAnsi="Times New Roman" w:cs="Times New Roman"/>
                <w:sz w:val="24"/>
                <w:szCs w:val="24"/>
              </w:rPr>
            </w:pPr>
            <w:proofErr w:type="spellStart"/>
            <w:r>
              <w:rPr>
                <w:rFonts w:ascii="Times New Roman" w:hAnsi="Times New Roman" w:cs="Times New Roman"/>
                <w:spacing w:val="-1"/>
                <w:sz w:val="24"/>
              </w:rPr>
              <w:t>Управление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твёрдыми</w:t>
            </w:r>
            <w:proofErr w:type="spellEnd"/>
            <w:r>
              <w:rPr>
                <w:rFonts w:ascii="Times New Roman" w:hAnsi="Times New Roman" w:cs="Times New Roman"/>
                <w:spacing w:val="-5"/>
                <w:sz w:val="24"/>
              </w:rPr>
              <w:t xml:space="preserve"> </w:t>
            </w:r>
            <w:proofErr w:type="spellStart"/>
            <w:r>
              <w:rPr>
                <w:rFonts w:ascii="Times New Roman" w:hAnsi="Times New Roman" w:cs="Times New Roman"/>
                <w:spacing w:val="-1"/>
                <w:sz w:val="24"/>
              </w:rPr>
              <w:t>бытовыми</w:t>
            </w:r>
            <w:proofErr w:type="spellEnd"/>
            <w:r>
              <w:rPr>
                <w:rFonts w:ascii="Times New Roman" w:hAnsi="Times New Roman" w:cs="Times New Roman"/>
                <w:sz w:val="24"/>
              </w:rPr>
              <w:t xml:space="preserve"> </w:t>
            </w:r>
            <w:proofErr w:type="spellStart"/>
            <w:r>
              <w:rPr>
                <w:rFonts w:ascii="Times New Roman" w:hAnsi="Times New Roman" w:cs="Times New Roman"/>
                <w:spacing w:val="-1"/>
                <w:sz w:val="24"/>
              </w:rPr>
              <w:t>отходами</w:t>
            </w:r>
            <w:proofErr w:type="spellEnd"/>
          </w:p>
        </w:tc>
      </w:tr>
      <w:tr w:rsidR="00A47A44" w:rsidTr="00564734">
        <w:trPr>
          <w:trHeight w:hRule="exact" w:val="326"/>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pacing w:val="-1"/>
                <w:sz w:val="24"/>
              </w:rPr>
              <w:t>ЦОУ</w:t>
            </w:r>
          </w:p>
        </w:tc>
        <w:tc>
          <w:tcPr>
            <w:tcW w:w="7901" w:type="dxa"/>
          </w:tcPr>
          <w:p w:rsidR="00A47A44" w:rsidRDefault="00A47A44" w:rsidP="00564734">
            <w:pPr>
              <w:pStyle w:val="TableParagraph"/>
              <w:spacing w:line="271" w:lineRule="exact"/>
              <w:ind w:left="567"/>
              <w:rPr>
                <w:rFonts w:ascii="Times New Roman" w:eastAsia="Calibri" w:hAnsi="Times New Roman" w:cs="Times New Roman"/>
                <w:sz w:val="24"/>
                <w:szCs w:val="24"/>
              </w:rPr>
            </w:pPr>
            <w:proofErr w:type="spellStart"/>
            <w:r>
              <w:rPr>
                <w:rFonts w:ascii="Times New Roman" w:hAnsi="Times New Roman" w:cs="Times New Roman"/>
                <w:spacing w:val="-1"/>
                <w:sz w:val="24"/>
              </w:rPr>
              <w:t>Центральные</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органы</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управления</w:t>
            </w:r>
            <w:proofErr w:type="spellEnd"/>
          </w:p>
        </w:tc>
      </w:tr>
      <w:tr w:rsidR="00A47A44" w:rsidTr="00564734">
        <w:trPr>
          <w:trHeight w:hRule="exact" w:val="326"/>
        </w:trPr>
        <w:tc>
          <w:tcPr>
            <w:tcW w:w="1450" w:type="dxa"/>
          </w:tcPr>
          <w:p w:rsidR="00A47A44" w:rsidRDefault="00A47A44" w:rsidP="00564734">
            <w:pPr>
              <w:pStyle w:val="TableParagraph"/>
              <w:spacing w:line="271" w:lineRule="exact"/>
              <w:ind w:left="230"/>
              <w:rPr>
                <w:rFonts w:ascii="Times New Roman" w:eastAsia="Calibri" w:hAnsi="Times New Roman" w:cs="Times New Roman"/>
                <w:sz w:val="24"/>
                <w:szCs w:val="24"/>
              </w:rPr>
            </w:pPr>
            <w:r>
              <w:rPr>
                <w:rFonts w:ascii="Times New Roman" w:hAnsi="Times New Roman" w:cs="Times New Roman"/>
                <w:sz w:val="24"/>
              </w:rPr>
              <w:t>ЭЭ</w:t>
            </w:r>
          </w:p>
        </w:tc>
        <w:tc>
          <w:tcPr>
            <w:tcW w:w="7901" w:type="dxa"/>
          </w:tcPr>
          <w:p w:rsidR="00A47A44" w:rsidRDefault="00A47A44" w:rsidP="00564734">
            <w:pPr>
              <w:pStyle w:val="TableParagraph"/>
              <w:spacing w:line="271" w:lineRule="exact"/>
              <w:ind w:left="567"/>
              <w:rPr>
                <w:rFonts w:ascii="Times New Roman" w:eastAsia="Calibri" w:hAnsi="Times New Roman" w:cs="Times New Roman"/>
                <w:sz w:val="24"/>
                <w:szCs w:val="24"/>
              </w:rPr>
            </w:pPr>
            <w:proofErr w:type="spellStart"/>
            <w:r>
              <w:rPr>
                <w:rFonts w:ascii="Times New Roman" w:hAnsi="Times New Roman" w:cs="Times New Roman"/>
                <w:spacing w:val="-1"/>
                <w:sz w:val="24"/>
              </w:rPr>
              <w:t>Энергоэффективность</w:t>
            </w:r>
            <w:proofErr w:type="spellEnd"/>
          </w:p>
        </w:tc>
      </w:tr>
      <w:tr w:rsidR="00A47A44" w:rsidRPr="0005655F" w:rsidTr="00564734">
        <w:trPr>
          <w:trHeight w:hRule="exact" w:val="662"/>
        </w:trPr>
        <w:tc>
          <w:tcPr>
            <w:tcW w:w="1450" w:type="dxa"/>
          </w:tcPr>
          <w:p w:rsidR="00A47A44" w:rsidRDefault="00A47A44" w:rsidP="00564734">
            <w:pPr>
              <w:pStyle w:val="TableParagraph"/>
              <w:spacing w:line="271" w:lineRule="exact"/>
              <w:ind w:left="179"/>
              <w:rPr>
                <w:rFonts w:ascii="Times New Roman" w:hAnsi="Times New Roman" w:cs="Times New Roman"/>
                <w:spacing w:val="-1"/>
                <w:sz w:val="24"/>
                <w:lang w:val="ru-RU"/>
              </w:rPr>
            </w:pPr>
            <w:r>
              <w:rPr>
                <w:rFonts w:ascii="Times New Roman" w:hAnsi="Times New Roman" w:cs="Times New Roman"/>
                <w:sz w:val="24"/>
                <w:lang w:val="ru-RU"/>
              </w:rPr>
              <w:t xml:space="preserve"> </w:t>
            </w:r>
            <w:r>
              <w:rPr>
                <w:rFonts w:ascii="Times New Roman" w:hAnsi="Times New Roman" w:cs="Times New Roman"/>
                <w:sz w:val="24"/>
              </w:rPr>
              <w:t>GIZ</w:t>
            </w:r>
          </w:p>
        </w:tc>
        <w:tc>
          <w:tcPr>
            <w:tcW w:w="7901" w:type="dxa"/>
          </w:tcPr>
          <w:p w:rsidR="00A47A44" w:rsidRDefault="00A47A44" w:rsidP="00564734">
            <w:pPr>
              <w:pStyle w:val="TableParagraph"/>
              <w:spacing w:line="271" w:lineRule="exact"/>
              <w:ind w:left="567"/>
              <w:rPr>
                <w:rFonts w:ascii="Times New Roman" w:eastAsia="Calibri" w:hAnsi="Times New Roman" w:cs="Times New Roman"/>
                <w:sz w:val="24"/>
                <w:szCs w:val="24"/>
                <w:lang w:val="ru-RU"/>
              </w:rPr>
            </w:pPr>
            <w:r>
              <w:rPr>
                <w:rFonts w:ascii="Times New Roman" w:hAnsi="Times New Roman" w:cs="Times New Roman"/>
                <w:spacing w:val="-1"/>
                <w:sz w:val="24"/>
                <w:lang w:val="ru-RU"/>
              </w:rPr>
              <w:t>Германское</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Агентство международного</w:t>
            </w:r>
            <w:r>
              <w:rPr>
                <w:rFonts w:ascii="Times New Roman" w:hAnsi="Times New Roman" w:cs="Times New Roman"/>
                <w:spacing w:val="1"/>
                <w:sz w:val="24"/>
                <w:lang w:val="ru-RU"/>
              </w:rPr>
              <w:t xml:space="preserve"> </w:t>
            </w:r>
            <w:r>
              <w:rPr>
                <w:rFonts w:ascii="Times New Roman" w:hAnsi="Times New Roman" w:cs="Times New Roman"/>
                <w:spacing w:val="-1"/>
                <w:sz w:val="24"/>
                <w:lang w:val="ru-RU"/>
              </w:rPr>
              <w:t>сотрудничества</w:t>
            </w:r>
            <w:r>
              <w:rPr>
                <w:rFonts w:ascii="Times New Roman" w:hAnsi="Times New Roman" w:cs="Times New Roman"/>
                <w:spacing w:val="1"/>
                <w:sz w:val="24"/>
                <w:lang w:val="ru-RU"/>
              </w:rPr>
              <w:t xml:space="preserve"> </w:t>
            </w:r>
            <w:r>
              <w:rPr>
                <w:rFonts w:ascii="Times New Roman" w:hAnsi="Times New Roman" w:cs="Times New Roman"/>
                <w:spacing w:val="-1"/>
                <w:sz w:val="24"/>
              </w:rPr>
              <w:t>Gesellschaft</w:t>
            </w:r>
            <w:r>
              <w:rPr>
                <w:rFonts w:ascii="Times New Roman" w:hAnsi="Times New Roman" w:cs="Times New Roman"/>
                <w:spacing w:val="-1"/>
                <w:sz w:val="24"/>
                <w:lang w:val="ru-RU"/>
              </w:rPr>
              <w:t xml:space="preserve"> </w:t>
            </w:r>
            <w:r>
              <w:rPr>
                <w:rFonts w:ascii="Times New Roman" w:hAnsi="Times New Roman" w:cs="Times New Roman"/>
                <w:spacing w:val="-1"/>
                <w:sz w:val="24"/>
              </w:rPr>
              <w:t>f</w:t>
            </w:r>
            <w:r>
              <w:rPr>
                <w:rFonts w:ascii="Times New Roman" w:hAnsi="Times New Roman" w:cs="Times New Roman"/>
                <w:spacing w:val="-1"/>
                <w:sz w:val="24"/>
                <w:lang w:val="ru-RU"/>
              </w:rPr>
              <w:t>ü</w:t>
            </w:r>
            <w:r>
              <w:rPr>
                <w:rFonts w:ascii="Times New Roman" w:hAnsi="Times New Roman" w:cs="Times New Roman"/>
                <w:spacing w:val="-1"/>
                <w:sz w:val="24"/>
              </w:rPr>
              <w:t>r</w:t>
            </w:r>
            <w:r>
              <w:rPr>
                <w:rFonts w:ascii="Times New Roman" w:hAnsi="Times New Roman" w:cs="Times New Roman"/>
                <w:spacing w:val="-1"/>
                <w:sz w:val="24"/>
                <w:lang w:val="ru-RU"/>
              </w:rPr>
              <w:t xml:space="preserve"> </w:t>
            </w:r>
            <w:proofErr w:type="spellStart"/>
            <w:r>
              <w:rPr>
                <w:rFonts w:ascii="Times New Roman" w:hAnsi="Times New Roman" w:cs="Times New Roman"/>
                <w:spacing w:val="-1"/>
                <w:sz w:val="24"/>
              </w:rPr>
              <w:t>Internationale</w:t>
            </w:r>
            <w:proofErr w:type="spellEnd"/>
            <w:r>
              <w:rPr>
                <w:rFonts w:ascii="Times New Roman" w:hAnsi="Times New Roman" w:cs="Times New Roman"/>
                <w:spacing w:val="-1"/>
                <w:sz w:val="24"/>
                <w:lang w:val="ru-RU"/>
              </w:rPr>
              <w:t xml:space="preserve"> </w:t>
            </w:r>
            <w:proofErr w:type="spellStart"/>
            <w:r>
              <w:rPr>
                <w:rFonts w:ascii="Times New Roman" w:hAnsi="Times New Roman" w:cs="Times New Roman"/>
                <w:spacing w:val="-1"/>
                <w:sz w:val="24"/>
              </w:rPr>
              <w:t>Zusammenarbeit</w:t>
            </w:r>
            <w:proofErr w:type="spellEnd"/>
          </w:p>
          <w:p w:rsidR="00A47A44" w:rsidRDefault="00A47A44" w:rsidP="00564734">
            <w:pPr>
              <w:pStyle w:val="TableParagraph"/>
              <w:spacing w:line="271" w:lineRule="exact"/>
              <w:ind w:left="567"/>
              <w:rPr>
                <w:rFonts w:ascii="Times New Roman" w:hAnsi="Times New Roman" w:cs="Times New Roman"/>
                <w:spacing w:val="-1"/>
                <w:sz w:val="24"/>
                <w:lang w:val="ru-RU"/>
              </w:rPr>
            </w:pPr>
          </w:p>
        </w:tc>
      </w:tr>
      <w:tr w:rsidR="00A47A44" w:rsidTr="00564734">
        <w:trPr>
          <w:trHeight w:hRule="exact" w:val="326"/>
        </w:trPr>
        <w:tc>
          <w:tcPr>
            <w:tcW w:w="1450" w:type="dxa"/>
          </w:tcPr>
          <w:p w:rsidR="00A47A44" w:rsidRDefault="00A47A44" w:rsidP="00564734">
            <w:pPr>
              <w:pStyle w:val="TableParagraph"/>
              <w:spacing w:line="271" w:lineRule="exact"/>
              <w:ind w:left="230"/>
              <w:rPr>
                <w:rFonts w:ascii="Times New Roman" w:hAnsi="Times New Roman" w:cs="Times New Roman"/>
                <w:sz w:val="24"/>
              </w:rPr>
            </w:pPr>
            <w:r>
              <w:rPr>
                <w:rFonts w:ascii="Times New Roman" w:eastAsia="Times New Roman" w:hAnsi="Times New Roman" w:cs="Times New Roman"/>
                <w:color w:val="161716"/>
                <w:sz w:val="24"/>
                <w:szCs w:val="24"/>
              </w:rPr>
              <w:t>PAG</w:t>
            </w:r>
          </w:p>
        </w:tc>
        <w:tc>
          <w:tcPr>
            <w:tcW w:w="7901" w:type="dxa"/>
          </w:tcPr>
          <w:p w:rsidR="00A47A44" w:rsidRDefault="00A47A44" w:rsidP="00564734">
            <w:pPr>
              <w:pStyle w:val="TableParagraph"/>
              <w:spacing w:line="271" w:lineRule="exact"/>
              <w:ind w:left="567"/>
              <w:rPr>
                <w:rFonts w:ascii="Times New Roman" w:hAnsi="Times New Roman" w:cs="Times New Roman"/>
                <w:spacing w:val="-1"/>
                <w:sz w:val="24"/>
              </w:rPr>
            </w:pPr>
            <w:proofErr w:type="spellStart"/>
            <w:r>
              <w:rPr>
                <w:rFonts w:ascii="Times New Roman" w:hAnsi="Times New Roman" w:cs="Times New Roman"/>
                <w:spacing w:val="-1"/>
                <w:sz w:val="24"/>
              </w:rPr>
              <w:t>Planul</w:t>
            </w:r>
            <w:proofErr w:type="spellEnd"/>
            <w:r>
              <w:rPr>
                <w:rFonts w:ascii="Times New Roman" w:hAnsi="Times New Roman" w:cs="Times New Roman"/>
                <w:spacing w:val="-1"/>
                <w:sz w:val="24"/>
              </w:rPr>
              <w:t xml:space="preserve"> de </w:t>
            </w:r>
            <w:proofErr w:type="spellStart"/>
            <w:r>
              <w:rPr>
                <w:rFonts w:ascii="Times New Roman" w:hAnsi="Times New Roman" w:cs="Times New Roman"/>
                <w:spacing w:val="-1"/>
                <w:sz w:val="24"/>
              </w:rPr>
              <w:t>Acțiuni</w:t>
            </w:r>
            <w:proofErr w:type="spellEnd"/>
            <w:r>
              <w:rPr>
                <w:rFonts w:ascii="Times New Roman" w:hAnsi="Times New Roman" w:cs="Times New Roman"/>
                <w:spacing w:val="-1"/>
                <w:sz w:val="24"/>
              </w:rPr>
              <w:t xml:space="preserve"> al </w:t>
            </w:r>
            <w:proofErr w:type="spellStart"/>
            <w:r>
              <w:rPr>
                <w:rFonts w:ascii="Times New Roman" w:hAnsi="Times New Roman" w:cs="Times New Roman"/>
                <w:spacing w:val="-1"/>
                <w:sz w:val="24"/>
              </w:rPr>
              <w:t>Guvernului</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pentru</w:t>
            </w:r>
            <w:proofErr w:type="spellEnd"/>
            <w:r>
              <w:rPr>
                <w:rFonts w:ascii="Times New Roman" w:hAnsi="Times New Roman" w:cs="Times New Roman"/>
                <w:spacing w:val="-1"/>
                <w:sz w:val="24"/>
              </w:rPr>
              <w:t xml:space="preserve"> </w:t>
            </w:r>
            <w:proofErr w:type="spellStart"/>
            <w:r>
              <w:rPr>
                <w:rFonts w:ascii="Times New Roman" w:hAnsi="Times New Roman" w:cs="Times New Roman"/>
                <w:spacing w:val="-1"/>
                <w:sz w:val="24"/>
              </w:rPr>
              <w:t>anii</w:t>
            </w:r>
            <w:proofErr w:type="spellEnd"/>
            <w:r>
              <w:rPr>
                <w:rFonts w:ascii="Times New Roman" w:hAnsi="Times New Roman" w:cs="Times New Roman"/>
                <w:spacing w:val="-1"/>
                <w:sz w:val="24"/>
              </w:rPr>
              <w:t xml:space="preserve"> 2020-2023</w:t>
            </w:r>
          </w:p>
        </w:tc>
      </w:tr>
      <w:tr w:rsidR="00A47A44" w:rsidRPr="0005655F" w:rsidTr="004E1866">
        <w:trPr>
          <w:trHeight w:hRule="exact" w:val="645"/>
        </w:trPr>
        <w:tc>
          <w:tcPr>
            <w:tcW w:w="1450" w:type="dxa"/>
          </w:tcPr>
          <w:p w:rsidR="00A47A44" w:rsidRDefault="00A47A44" w:rsidP="00564734">
            <w:pPr>
              <w:pStyle w:val="TableParagraph"/>
              <w:spacing w:line="271" w:lineRule="exact"/>
              <w:ind w:left="230"/>
              <w:rPr>
                <w:rFonts w:ascii="Times New Roman" w:hAnsi="Times New Roman" w:cs="Times New Roman"/>
                <w:sz w:val="24"/>
              </w:rPr>
            </w:pPr>
            <w:r>
              <w:rPr>
                <w:rFonts w:ascii="Times New Roman" w:hAnsi="Times New Roman" w:cs="Times New Roman"/>
                <w:sz w:val="24"/>
              </w:rPr>
              <w:t>UNDP</w:t>
            </w:r>
          </w:p>
        </w:tc>
        <w:tc>
          <w:tcPr>
            <w:tcW w:w="7901" w:type="dxa"/>
          </w:tcPr>
          <w:p w:rsidR="00A47A44" w:rsidRDefault="00A47A44" w:rsidP="00564734">
            <w:pPr>
              <w:pStyle w:val="TableParagraph"/>
              <w:spacing w:line="271" w:lineRule="exact"/>
              <w:ind w:left="567"/>
              <w:rPr>
                <w:rFonts w:ascii="Times New Roman" w:hAnsi="Times New Roman" w:cs="Times New Roman"/>
                <w:spacing w:val="-1"/>
                <w:sz w:val="24"/>
                <w:lang w:val="ru-RU"/>
              </w:rPr>
            </w:pPr>
            <w:r>
              <w:rPr>
                <w:rFonts w:ascii="Times New Roman" w:hAnsi="Times New Roman" w:cs="Times New Roman"/>
                <w:spacing w:val="-1"/>
                <w:sz w:val="24"/>
                <w:lang w:val="ru-RU"/>
              </w:rPr>
              <w:t>Программа</w:t>
            </w:r>
            <w:r w:rsidRPr="004E1866">
              <w:rPr>
                <w:rFonts w:ascii="Times New Roman" w:hAnsi="Times New Roman" w:cs="Times New Roman"/>
                <w:spacing w:val="-1"/>
                <w:sz w:val="24"/>
                <w:lang w:val="ru-RU"/>
              </w:rPr>
              <w:t xml:space="preserve"> </w:t>
            </w:r>
            <w:r>
              <w:rPr>
                <w:rFonts w:ascii="Times New Roman" w:hAnsi="Times New Roman" w:cs="Times New Roman"/>
                <w:spacing w:val="-1"/>
                <w:sz w:val="24"/>
                <w:lang w:val="ru-RU"/>
              </w:rPr>
              <w:t>развития</w:t>
            </w:r>
            <w:r w:rsidRPr="004E1866">
              <w:rPr>
                <w:rFonts w:ascii="Times New Roman" w:hAnsi="Times New Roman" w:cs="Times New Roman"/>
                <w:spacing w:val="-1"/>
                <w:sz w:val="24"/>
                <w:lang w:val="ru-RU"/>
              </w:rPr>
              <w:t xml:space="preserve"> </w:t>
            </w:r>
            <w:r>
              <w:rPr>
                <w:rFonts w:ascii="Times New Roman" w:hAnsi="Times New Roman" w:cs="Times New Roman"/>
                <w:spacing w:val="-1"/>
                <w:sz w:val="24"/>
                <w:lang w:val="ru-RU"/>
              </w:rPr>
              <w:t>Организации</w:t>
            </w:r>
            <w:r w:rsidRPr="004E1866">
              <w:rPr>
                <w:rFonts w:ascii="Times New Roman" w:hAnsi="Times New Roman" w:cs="Times New Roman"/>
                <w:spacing w:val="-1"/>
                <w:sz w:val="24"/>
                <w:lang w:val="ru-RU"/>
              </w:rPr>
              <w:t xml:space="preserve"> </w:t>
            </w:r>
            <w:r>
              <w:rPr>
                <w:rFonts w:ascii="Times New Roman" w:hAnsi="Times New Roman" w:cs="Times New Roman"/>
                <w:spacing w:val="-1"/>
                <w:sz w:val="24"/>
                <w:lang w:val="ru-RU"/>
              </w:rPr>
              <w:t>Объединенных</w:t>
            </w:r>
            <w:r w:rsidRPr="004E1866">
              <w:rPr>
                <w:rFonts w:ascii="Times New Roman" w:hAnsi="Times New Roman" w:cs="Times New Roman"/>
                <w:spacing w:val="-1"/>
                <w:sz w:val="24"/>
                <w:lang w:val="ru-RU"/>
              </w:rPr>
              <w:t xml:space="preserve"> </w:t>
            </w:r>
            <w:r>
              <w:rPr>
                <w:rFonts w:ascii="Times New Roman" w:hAnsi="Times New Roman" w:cs="Times New Roman"/>
                <w:spacing w:val="-1"/>
                <w:sz w:val="24"/>
                <w:lang w:val="ru-RU"/>
              </w:rPr>
              <w:t>Наций</w:t>
            </w:r>
            <w:r w:rsidR="00FE34C6">
              <w:rPr>
                <w:rFonts w:ascii="Times New Roman" w:hAnsi="Times New Roman" w:cs="Times New Roman"/>
                <w:spacing w:val="-1"/>
                <w:sz w:val="24"/>
                <w:lang w:val="ru-RU"/>
              </w:rPr>
              <w:t xml:space="preserve"> (</w:t>
            </w:r>
            <w:proofErr w:type="spellStart"/>
            <w:r w:rsidR="00FE34C6" w:rsidRPr="004E1866">
              <w:rPr>
                <w:rFonts w:ascii="Times New Roman" w:hAnsi="Times New Roman" w:cs="Times New Roman"/>
                <w:spacing w:val="-1"/>
                <w:sz w:val="24"/>
                <w:lang w:val="ru-RU"/>
              </w:rPr>
              <w:t>United</w:t>
            </w:r>
            <w:proofErr w:type="spellEnd"/>
            <w:r w:rsidR="00FE34C6" w:rsidRPr="004E1866">
              <w:rPr>
                <w:rFonts w:ascii="Times New Roman" w:hAnsi="Times New Roman" w:cs="Times New Roman"/>
                <w:spacing w:val="-1"/>
                <w:sz w:val="24"/>
                <w:lang w:val="ru-RU"/>
              </w:rPr>
              <w:t xml:space="preserve"> </w:t>
            </w:r>
            <w:proofErr w:type="spellStart"/>
            <w:r w:rsidR="00FE34C6" w:rsidRPr="004E1866">
              <w:rPr>
                <w:rFonts w:ascii="Times New Roman" w:hAnsi="Times New Roman" w:cs="Times New Roman"/>
                <w:spacing w:val="-1"/>
                <w:sz w:val="24"/>
                <w:lang w:val="ru-RU"/>
              </w:rPr>
              <w:t>Nations</w:t>
            </w:r>
            <w:proofErr w:type="spellEnd"/>
            <w:r w:rsidR="00FE34C6" w:rsidRPr="004E1866">
              <w:rPr>
                <w:rFonts w:ascii="Times New Roman" w:hAnsi="Times New Roman" w:cs="Times New Roman"/>
                <w:spacing w:val="-1"/>
                <w:sz w:val="24"/>
                <w:lang w:val="ru-RU"/>
              </w:rPr>
              <w:t xml:space="preserve"> </w:t>
            </w:r>
            <w:proofErr w:type="spellStart"/>
            <w:r w:rsidR="00FE34C6" w:rsidRPr="004E1866">
              <w:rPr>
                <w:rFonts w:ascii="Times New Roman" w:hAnsi="Times New Roman" w:cs="Times New Roman"/>
                <w:spacing w:val="-1"/>
                <w:sz w:val="24"/>
                <w:lang w:val="ru-RU"/>
              </w:rPr>
              <w:t>Development</w:t>
            </w:r>
            <w:proofErr w:type="spellEnd"/>
            <w:r w:rsidR="00FE34C6" w:rsidRPr="004E1866">
              <w:rPr>
                <w:rFonts w:ascii="Times New Roman" w:hAnsi="Times New Roman" w:cs="Times New Roman"/>
                <w:spacing w:val="-1"/>
                <w:sz w:val="24"/>
                <w:lang w:val="ru-RU"/>
              </w:rPr>
              <w:t xml:space="preserve"> </w:t>
            </w:r>
            <w:proofErr w:type="spellStart"/>
            <w:r w:rsidR="00FE34C6" w:rsidRPr="004E1866">
              <w:rPr>
                <w:rFonts w:ascii="Times New Roman" w:hAnsi="Times New Roman" w:cs="Times New Roman"/>
                <w:spacing w:val="-1"/>
                <w:sz w:val="24"/>
                <w:lang w:val="ru-RU"/>
              </w:rPr>
              <w:t>Programme</w:t>
            </w:r>
            <w:proofErr w:type="spellEnd"/>
            <w:r w:rsidR="00FE34C6">
              <w:rPr>
                <w:rFonts w:ascii="Times New Roman" w:hAnsi="Times New Roman" w:cs="Times New Roman"/>
                <w:spacing w:val="-1"/>
                <w:sz w:val="24"/>
                <w:lang w:val="ru-RU"/>
              </w:rPr>
              <w:t>)</w:t>
            </w:r>
          </w:p>
        </w:tc>
      </w:tr>
      <w:tr w:rsidR="00A47A44" w:rsidTr="00564734">
        <w:trPr>
          <w:trHeight w:hRule="exact" w:val="625"/>
        </w:trPr>
        <w:tc>
          <w:tcPr>
            <w:tcW w:w="1450" w:type="dxa"/>
          </w:tcPr>
          <w:p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hAnsi="Times New Roman" w:cs="Times New Roman"/>
                <w:spacing w:val="-1"/>
                <w:sz w:val="24"/>
              </w:rPr>
              <w:t>USAID</w:t>
            </w:r>
          </w:p>
        </w:tc>
        <w:tc>
          <w:tcPr>
            <w:tcW w:w="7901" w:type="dxa"/>
          </w:tcPr>
          <w:p w:rsidR="00A47A44" w:rsidRPr="004E1866" w:rsidRDefault="00A47A44" w:rsidP="00564734">
            <w:pPr>
              <w:pStyle w:val="TableParagraph"/>
              <w:spacing w:line="271" w:lineRule="exact"/>
              <w:ind w:left="567"/>
              <w:rPr>
                <w:rFonts w:ascii="Times New Roman" w:hAnsi="Times New Roman" w:cs="Times New Roman"/>
                <w:spacing w:val="-1"/>
                <w:sz w:val="24"/>
              </w:rPr>
            </w:pPr>
            <w:r>
              <w:rPr>
                <w:rFonts w:ascii="Times New Roman" w:hAnsi="Times New Roman" w:cs="Times New Roman"/>
                <w:spacing w:val="-1"/>
                <w:sz w:val="24"/>
                <w:lang w:val="ru-RU"/>
              </w:rPr>
              <w:t>Агентство</w:t>
            </w:r>
            <w:r w:rsidRPr="004E1866">
              <w:rPr>
                <w:rFonts w:ascii="Times New Roman" w:hAnsi="Times New Roman" w:cs="Times New Roman"/>
                <w:spacing w:val="-1"/>
                <w:sz w:val="24"/>
              </w:rPr>
              <w:t xml:space="preserve"> </w:t>
            </w:r>
            <w:r>
              <w:rPr>
                <w:rFonts w:ascii="Times New Roman" w:hAnsi="Times New Roman" w:cs="Times New Roman"/>
                <w:spacing w:val="-1"/>
                <w:sz w:val="24"/>
                <w:lang w:val="ru-RU"/>
              </w:rPr>
              <w:t>США</w:t>
            </w:r>
            <w:r w:rsidRPr="004E1866">
              <w:rPr>
                <w:rFonts w:ascii="Times New Roman" w:hAnsi="Times New Roman" w:cs="Times New Roman"/>
                <w:spacing w:val="-1"/>
                <w:sz w:val="24"/>
              </w:rPr>
              <w:t xml:space="preserve"> </w:t>
            </w:r>
            <w:r>
              <w:rPr>
                <w:rFonts w:ascii="Times New Roman" w:hAnsi="Times New Roman" w:cs="Times New Roman"/>
                <w:spacing w:val="-1"/>
                <w:sz w:val="24"/>
                <w:lang w:val="ru-RU"/>
              </w:rPr>
              <w:t>по</w:t>
            </w:r>
            <w:r w:rsidRPr="004E1866">
              <w:rPr>
                <w:rFonts w:ascii="Times New Roman" w:hAnsi="Times New Roman" w:cs="Times New Roman"/>
                <w:spacing w:val="-1"/>
                <w:sz w:val="24"/>
              </w:rPr>
              <w:t xml:space="preserve"> </w:t>
            </w:r>
            <w:r>
              <w:rPr>
                <w:rFonts w:ascii="Times New Roman" w:hAnsi="Times New Roman" w:cs="Times New Roman"/>
                <w:spacing w:val="-1"/>
                <w:sz w:val="24"/>
                <w:lang w:val="ru-RU"/>
              </w:rPr>
              <w:t>международному</w:t>
            </w:r>
            <w:r w:rsidRPr="004E1866">
              <w:rPr>
                <w:rFonts w:ascii="Times New Roman" w:hAnsi="Times New Roman" w:cs="Times New Roman"/>
                <w:spacing w:val="-1"/>
                <w:sz w:val="24"/>
              </w:rPr>
              <w:t xml:space="preserve"> </w:t>
            </w:r>
            <w:r>
              <w:rPr>
                <w:rFonts w:ascii="Times New Roman" w:hAnsi="Times New Roman" w:cs="Times New Roman"/>
                <w:spacing w:val="-1"/>
                <w:sz w:val="24"/>
                <w:lang w:val="ru-RU"/>
              </w:rPr>
              <w:t>развитию</w:t>
            </w:r>
            <w:r w:rsidRPr="004E1866">
              <w:rPr>
                <w:rFonts w:ascii="Times New Roman" w:hAnsi="Times New Roman" w:cs="Times New Roman"/>
                <w:spacing w:val="-1"/>
                <w:sz w:val="24"/>
              </w:rPr>
              <w:t xml:space="preserve"> (United States Agency for International Development)</w:t>
            </w:r>
          </w:p>
        </w:tc>
      </w:tr>
      <w:tr w:rsidR="00A47A44" w:rsidTr="00564734">
        <w:trPr>
          <w:trHeight w:hRule="exact" w:val="326"/>
        </w:trPr>
        <w:tc>
          <w:tcPr>
            <w:tcW w:w="1450" w:type="dxa"/>
          </w:tcPr>
          <w:p w:rsidR="00A47A44" w:rsidRDefault="00A47A44" w:rsidP="00564734">
            <w:pPr>
              <w:pStyle w:val="TableParagraph"/>
              <w:spacing w:line="271" w:lineRule="exact"/>
              <w:ind w:left="230"/>
              <w:rPr>
                <w:rFonts w:ascii="Times New Roman" w:hAnsi="Times New Roman" w:cs="Times New Roman"/>
                <w:spacing w:val="-1"/>
                <w:sz w:val="24"/>
              </w:rPr>
            </w:pPr>
            <w:r>
              <w:rPr>
                <w:rFonts w:ascii="Times New Roman" w:hAnsi="Times New Roman" w:cs="Times New Roman"/>
                <w:spacing w:val="-1"/>
                <w:sz w:val="24"/>
              </w:rPr>
              <w:t>TIKA</w:t>
            </w:r>
          </w:p>
          <w:p w:rsidR="00A47A44" w:rsidRDefault="00A47A44" w:rsidP="00564734">
            <w:pPr>
              <w:pStyle w:val="TableParagraph"/>
              <w:spacing w:line="271" w:lineRule="exact"/>
              <w:ind w:left="230"/>
              <w:rPr>
                <w:rFonts w:ascii="Times New Roman" w:hAnsi="Times New Roman" w:cs="Times New Roman"/>
                <w:spacing w:val="-1"/>
                <w:sz w:val="24"/>
                <w:highlight w:val="yellow"/>
              </w:rPr>
            </w:pPr>
          </w:p>
          <w:p w:rsidR="00A47A44" w:rsidRDefault="00A47A44" w:rsidP="00564734">
            <w:pPr>
              <w:pStyle w:val="TableParagraph"/>
              <w:spacing w:line="271" w:lineRule="exact"/>
              <w:ind w:left="230"/>
              <w:rPr>
                <w:rFonts w:ascii="Times New Roman" w:hAnsi="Times New Roman" w:cs="Times New Roman"/>
                <w:spacing w:val="-1"/>
                <w:sz w:val="24"/>
                <w:highlight w:val="yellow"/>
              </w:rPr>
            </w:pPr>
            <w:r>
              <w:rPr>
                <w:rFonts w:ascii="Times New Roman" w:hAnsi="Times New Roman" w:cs="Times New Roman"/>
                <w:spacing w:val="-1"/>
                <w:sz w:val="24"/>
                <w:highlight w:val="yellow"/>
                <w:lang w:val="ru-RU"/>
              </w:rPr>
              <w:t>ЕШ</w:t>
            </w:r>
            <w:r>
              <w:rPr>
                <w:rFonts w:ascii="Times New Roman" w:hAnsi="Times New Roman" w:cs="Times New Roman"/>
                <w:spacing w:val="-1"/>
                <w:sz w:val="24"/>
                <w:highlight w:val="yellow"/>
              </w:rPr>
              <w:t xml:space="preserve"> </w:t>
            </w: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highlight w:val="yellow"/>
              </w:rPr>
            </w:pPr>
            <w:r>
              <w:rPr>
                <w:rFonts w:ascii="Times New Roman" w:hAnsi="Times New Roman" w:cs="Times New Roman"/>
                <w:spacing w:val="-1"/>
                <w:sz w:val="24"/>
              </w:rPr>
              <w:t>Turkish Cooperation and Coordination Agency</w:t>
            </w:r>
          </w:p>
        </w:tc>
      </w:tr>
      <w:tr w:rsidR="00A47A44" w:rsidTr="00564734">
        <w:trPr>
          <w:trHeight w:hRule="exact" w:val="326"/>
        </w:trPr>
        <w:tc>
          <w:tcPr>
            <w:tcW w:w="1450" w:type="dxa"/>
          </w:tcPr>
          <w:p w:rsidR="00A47A44" w:rsidRDefault="00A47A44" w:rsidP="00564734">
            <w:pPr>
              <w:pStyle w:val="TableParagraph"/>
              <w:spacing w:line="271" w:lineRule="exact"/>
              <w:ind w:left="230"/>
              <w:rPr>
                <w:rFonts w:ascii="Times New Roman" w:hAnsi="Times New Roman" w:cs="Times New Roman"/>
                <w:spacing w:val="-1"/>
                <w:sz w:val="24"/>
                <w:highlight w:val="yellow"/>
              </w:rPr>
            </w:pPr>
          </w:p>
        </w:tc>
        <w:tc>
          <w:tcPr>
            <w:tcW w:w="7901" w:type="dxa"/>
          </w:tcPr>
          <w:p w:rsidR="00A47A44" w:rsidRDefault="00A47A44" w:rsidP="00564734">
            <w:pPr>
              <w:pStyle w:val="TableParagraph"/>
              <w:spacing w:line="271" w:lineRule="exact"/>
              <w:ind w:left="540"/>
              <w:rPr>
                <w:rFonts w:ascii="Times New Roman" w:hAnsi="Times New Roman" w:cs="Times New Roman"/>
                <w:spacing w:val="-1"/>
                <w:sz w:val="24"/>
                <w:highlight w:val="yellow"/>
              </w:rPr>
            </w:pPr>
          </w:p>
        </w:tc>
      </w:tr>
    </w:tbl>
    <w:p w:rsidR="00A47A44" w:rsidRDefault="00A47A44" w:rsidP="00A47A44">
      <w:bookmarkStart w:id="0" w:name="_bookmark1"/>
      <w:bookmarkEnd w:id="0"/>
    </w:p>
    <w:p w:rsidR="00A47A44" w:rsidRDefault="00A47A44" w:rsidP="00A47A44">
      <w:pPr>
        <w:shd w:val="clear" w:color="auto" w:fill="FFFFFF"/>
        <w:spacing w:after="0" w:line="240" w:lineRule="auto"/>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12517" w:rsidRDefault="00A12517" w:rsidP="00A47A44">
      <w:pPr>
        <w:shd w:val="clear" w:color="auto" w:fill="FFFFFF"/>
        <w:spacing w:after="0" w:line="240" w:lineRule="auto"/>
        <w:jc w:val="both"/>
        <w:rPr>
          <w:rFonts w:ascii="Times New Roman" w:eastAsia="Times New Roman" w:hAnsi="Times New Roman" w:cs="Times New Roman"/>
          <w:sz w:val="24"/>
          <w:szCs w:val="24"/>
        </w:rPr>
      </w:pPr>
    </w:p>
    <w:p w:rsidR="00A47A44" w:rsidRDefault="00A47A44" w:rsidP="00DF3C08">
      <w:pPr>
        <w:pStyle w:val="4"/>
        <w:numPr>
          <w:ilvl w:val="0"/>
          <w:numId w:val="8"/>
        </w:numPr>
        <w:ind w:hanging="1080"/>
        <w:rPr>
          <w:lang w:val="ru-RU"/>
        </w:rPr>
      </w:pPr>
      <w:r>
        <w:rPr>
          <w:lang w:val="ru-RU"/>
        </w:rPr>
        <w:t>ВВЕДЕНИЕ</w:t>
      </w:r>
    </w:p>
    <w:p w:rsidR="00A47A44" w:rsidRDefault="00A47A44" w:rsidP="00A47A44">
      <w:pPr>
        <w:spacing w:before="120" w:after="12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lastRenderedPageBreak/>
        <w:t>1.1    Стратегический контекст</w:t>
      </w:r>
    </w:p>
    <w:p w:rsidR="00A47A44" w:rsidRDefault="00A47A44" w:rsidP="00A47A44">
      <w:pPr>
        <w:spacing w:before="120" w:after="12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Региональная </w:t>
      </w:r>
      <w:r w:rsidR="004E1866">
        <w:rPr>
          <w:rFonts w:ascii="Times New Roman" w:eastAsia="Times New Roman" w:hAnsi="Times New Roman" w:cs="Times New Roman"/>
          <w:color w:val="000000"/>
          <w:sz w:val="24"/>
          <w:szCs w:val="24"/>
          <w:lang w:val="ru-RU"/>
        </w:rPr>
        <w:t>О</w:t>
      </w:r>
      <w:r>
        <w:rPr>
          <w:rFonts w:ascii="Times New Roman" w:eastAsia="Times New Roman" w:hAnsi="Times New Roman" w:cs="Times New Roman"/>
          <w:color w:val="000000"/>
          <w:sz w:val="24"/>
          <w:szCs w:val="24"/>
          <w:lang w:val="ru-RU"/>
        </w:rPr>
        <w:t>пера</w:t>
      </w:r>
      <w:r w:rsidR="00F70993">
        <w:rPr>
          <w:rFonts w:ascii="Times New Roman" w:eastAsia="Times New Roman" w:hAnsi="Times New Roman" w:cs="Times New Roman"/>
          <w:color w:val="000000"/>
          <w:sz w:val="24"/>
          <w:szCs w:val="24"/>
          <w:lang w:val="ru-RU"/>
        </w:rPr>
        <w:t>цион</w:t>
      </w:r>
      <w:r>
        <w:rPr>
          <w:rFonts w:ascii="Times New Roman" w:eastAsia="Times New Roman" w:hAnsi="Times New Roman" w:cs="Times New Roman"/>
          <w:color w:val="000000"/>
          <w:sz w:val="24"/>
          <w:szCs w:val="24"/>
          <w:lang w:val="ru-RU"/>
        </w:rPr>
        <w:t xml:space="preserve">ная </w:t>
      </w:r>
      <w:r w:rsidR="004E1866">
        <w:rPr>
          <w:rFonts w:ascii="Times New Roman" w:eastAsia="Times New Roman" w:hAnsi="Times New Roman" w:cs="Times New Roman"/>
          <w:color w:val="000000"/>
          <w:sz w:val="24"/>
          <w:szCs w:val="24"/>
          <w:lang w:val="ru-RU"/>
        </w:rPr>
        <w:t>П</w:t>
      </w:r>
      <w:r>
        <w:rPr>
          <w:rFonts w:ascii="Times New Roman" w:eastAsia="Times New Roman" w:hAnsi="Times New Roman" w:cs="Times New Roman"/>
          <w:color w:val="000000"/>
          <w:sz w:val="24"/>
          <w:szCs w:val="24"/>
          <w:lang w:val="ru-RU"/>
        </w:rPr>
        <w:t>рограмма — это главный программный документ на уровне региона развития, который призван обеспечивать соответствие между НСРР на 2022–2028 годы и мероприятиями, запланированными на региональном уровне. Документ переносит на региональный уровень цели НСРР, определяя средства интервенции и среднесрочные приоритеты</w:t>
      </w:r>
      <w:r w:rsidR="004E1866">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 xml:space="preserve"> в зависимости от потребностей развития региона и проблем, присущих региональному уровню, являясь инструментом для более эффективного использования регионального потенциала на среднесрочный период.</w:t>
      </w:r>
    </w:p>
    <w:p w:rsidR="004E1866" w:rsidRDefault="004E1866" w:rsidP="00A47A44">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Региональная Операционная Программа </w:t>
      </w:r>
      <w:r w:rsidR="00A47A44">
        <w:rPr>
          <w:rFonts w:ascii="Times New Roman" w:eastAsia="Times New Roman" w:hAnsi="Times New Roman" w:cs="Times New Roman"/>
          <w:color w:val="000000"/>
          <w:sz w:val="24"/>
          <w:szCs w:val="24"/>
          <w:lang w:val="ru-RU"/>
        </w:rPr>
        <w:t xml:space="preserve">региона развития АТО Гагаузия на 2026–2028 годы определяет главные ориентиры развития АТО Гагаузия, как Региона развития, в среднесрочной перспективе. </w:t>
      </w:r>
    </w:p>
    <w:p w:rsidR="00A47A44" w:rsidRDefault="00A47A44" w:rsidP="00A47A4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РОПГ была разработана в соответствии с основополагающими документами Республики Молдова в области регионального развития:</w:t>
      </w:r>
    </w:p>
    <w:p w:rsidR="00A47A44" w:rsidRDefault="00A47A44" w:rsidP="004E1866">
      <w:pPr>
        <w:spacing w:after="0" w:line="240" w:lineRule="auto"/>
        <w:ind w:firstLine="284"/>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Закон № 438 от 28.12.2006 «</w:t>
      </w:r>
      <w:r w:rsidR="004E1866">
        <w:rPr>
          <w:rFonts w:ascii="Times New Roman" w:eastAsia="Times New Roman" w:hAnsi="Times New Roman" w:cs="Times New Roman"/>
          <w:color w:val="000000"/>
          <w:sz w:val="24"/>
          <w:szCs w:val="24"/>
          <w:lang w:val="ru-RU"/>
        </w:rPr>
        <w:t>О</w:t>
      </w:r>
      <w:r>
        <w:rPr>
          <w:rFonts w:ascii="Times New Roman" w:eastAsia="Times New Roman" w:hAnsi="Times New Roman" w:cs="Times New Roman"/>
          <w:color w:val="000000"/>
          <w:sz w:val="24"/>
          <w:szCs w:val="24"/>
          <w:lang w:val="ru-RU"/>
        </w:rPr>
        <w:t xml:space="preserve"> региональном развитии»;</w:t>
      </w:r>
    </w:p>
    <w:p w:rsidR="00A47A44" w:rsidRDefault="00A47A44" w:rsidP="004E1866">
      <w:pPr>
        <w:spacing w:after="0" w:line="240" w:lineRule="auto"/>
        <w:ind w:firstLine="284"/>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Национальная стратегия развития «Молдова 2030»;</w:t>
      </w:r>
    </w:p>
    <w:p w:rsidR="00A47A44" w:rsidRDefault="00A47A44" w:rsidP="004E1866">
      <w:pPr>
        <w:spacing w:after="0" w:line="240" w:lineRule="auto"/>
        <w:ind w:firstLine="284"/>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Национальная стратегия регионального развития на 2022–2028 гг.;</w:t>
      </w:r>
    </w:p>
    <w:p w:rsidR="00A47A44" w:rsidRDefault="00A47A44" w:rsidP="004E1866">
      <w:pPr>
        <w:spacing w:after="0" w:line="240" w:lineRule="auto"/>
        <w:ind w:firstLine="28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Стратегия социально-экономического развития ATO Гагаузия 2017–2022;</w:t>
      </w:r>
    </w:p>
    <w:p w:rsidR="00A47A44" w:rsidRDefault="00A47A44" w:rsidP="004E1866">
      <w:pPr>
        <w:spacing w:line="240" w:lineRule="auto"/>
        <w:ind w:firstLine="284"/>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bCs/>
          <w:color w:val="000000"/>
          <w:sz w:val="24"/>
          <w:szCs w:val="24"/>
          <w:lang w:val="ru-RU"/>
        </w:rPr>
        <w:t>Национальная программа</w:t>
      </w:r>
      <w:r w:rsidRPr="0048281F">
        <w:rPr>
          <w:rFonts w:ascii="Times New Roman" w:eastAsia="Times New Roman" w:hAnsi="Times New Roman" w:cs="Times New Roman"/>
          <w:bCs/>
          <w:color w:val="000000"/>
          <w:sz w:val="24"/>
          <w:szCs w:val="24"/>
          <w:lang w:val="ru-RU"/>
        </w:rPr>
        <w:t xml:space="preserve"> развития городов-полюсов роста в Республике Молдова на 2021-2027 годы</w:t>
      </w:r>
      <w:r>
        <w:rPr>
          <w:rFonts w:ascii="Times New Roman" w:eastAsia="Times New Roman" w:hAnsi="Times New Roman" w:cs="Times New Roman"/>
          <w:bCs/>
          <w:color w:val="000000"/>
          <w:sz w:val="24"/>
          <w:szCs w:val="24"/>
          <w:lang w:val="ru-RU"/>
        </w:rPr>
        <w:t>.</w:t>
      </w:r>
    </w:p>
    <w:p w:rsidR="00A47A44" w:rsidRPr="0048281F" w:rsidRDefault="00A47A44" w:rsidP="00A47A44">
      <w:pPr>
        <w:spacing w:after="0" w:line="240" w:lineRule="auto"/>
        <w:jc w:val="both"/>
        <w:rPr>
          <w:rFonts w:ascii="Times New Roman" w:eastAsia="Times New Roman" w:hAnsi="Times New Roman" w:cs="Times New Roman"/>
          <w:b/>
          <w:bCs/>
          <w:color w:val="000000"/>
          <w:sz w:val="24"/>
          <w:szCs w:val="24"/>
          <w:lang w:val="ru-RU"/>
        </w:rPr>
      </w:pPr>
      <w:r w:rsidRPr="0048281F">
        <w:rPr>
          <w:rFonts w:ascii="Times New Roman" w:eastAsia="Times New Roman" w:hAnsi="Times New Roman" w:cs="Times New Roman"/>
          <w:bCs/>
          <w:color w:val="000000"/>
          <w:sz w:val="24"/>
          <w:szCs w:val="24"/>
          <w:lang w:val="ru-RU"/>
        </w:rPr>
        <w:t xml:space="preserve">Эта </w:t>
      </w:r>
      <w:r w:rsidR="00096964">
        <w:rPr>
          <w:rFonts w:ascii="Times New Roman" w:eastAsia="Times New Roman" w:hAnsi="Times New Roman" w:cs="Times New Roman"/>
          <w:bCs/>
          <w:color w:val="000000"/>
          <w:sz w:val="24"/>
          <w:szCs w:val="24"/>
          <w:lang w:val="ru-RU"/>
        </w:rPr>
        <w:t>П</w:t>
      </w:r>
      <w:r w:rsidRPr="0048281F">
        <w:rPr>
          <w:rFonts w:ascii="Times New Roman" w:eastAsia="Times New Roman" w:hAnsi="Times New Roman" w:cs="Times New Roman"/>
          <w:bCs/>
          <w:color w:val="000000"/>
          <w:sz w:val="24"/>
          <w:szCs w:val="24"/>
          <w:lang w:val="ru-RU"/>
        </w:rPr>
        <w:t>рограмма направлена ​​на достижение стратегических целей регионального развития на уровне региона развития АТО Гагаузия на второй программный период 2026-2028 годов. Новый документ заменяет РОП АТО Гагаузия на 2022-2024 годы</w:t>
      </w:r>
      <w:r w:rsidR="00096964">
        <w:rPr>
          <w:rFonts w:ascii="Times New Roman" w:eastAsia="Times New Roman" w:hAnsi="Times New Roman" w:cs="Times New Roman"/>
          <w:bCs/>
          <w:color w:val="000000"/>
          <w:sz w:val="24"/>
          <w:szCs w:val="24"/>
          <w:lang w:val="ru-RU"/>
        </w:rPr>
        <w:t xml:space="preserve"> (продлённый на 2025 год)</w:t>
      </w:r>
      <w:r w:rsidRPr="0048281F">
        <w:rPr>
          <w:rFonts w:ascii="Times New Roman" w:eastAsia="Times New Roman" w:hAnsi="Times New Roman" w:cs="Times New Roman"/>
          <w:bCs/>
          <w:color w:val="000000"/>
          <w:sz w:val="24"/>
          <w:szCs w:val="24"/>
          <w:lang w:val="ru-RU"/>
        </w:rPr>
        <w:t>, сохраняя преемственность в видении и приоритетах, направленных на повышение экономической конкурентоспособности, сокращение неравенства и улучшение качества жизни граждан в регионе развития Гагаузия</w:t>
      </w:r>
      <w:r w:rsidRPr="0048281F">
        <w:rPr>
          <w:rFonts w:ascii="Times New Roman" w:eastAsia="Times New Roman" w:hAnsi="Times New Roman" w:cs="Times New Roman"/>
          <w:b/>
          <w:bCs/>
          <w:color w:val="000000"/>
          <w:sz w:val="24"/>
          <w:szCs w:val="24"/>
          <w:lang w:val="ru-RU"/>
        </w:rPr>
        <w:t>.</w:t>
      </w:r>
    </w:p>
    <w:p w:rsidR="00A857A4" w:rsidRDefault="00A857A4" w:rsidP="00A47A44">
      <w:pPr>
        <w:spacing w:after="0" w:line="240" w:lineRule="auto"/>
        <w:jc w:val="both"/>
        <w:rPr>
          <w:rFonts w:ascii="Times New Roman" w:eastAsia="Times New Roman" w:hAnsi="Times New Roman" w:cs="Times New Roman"/>
          <w:sz w:val="24"/>
          <w:szCs w:val="24"/>
          <w:lang w:val="ru-RU"/>
        </w:rPr>
      </w:pPr>
    </w:p>
    <w:p w:rsidR="00A47A44" w:rsidRDefault="00A47A44" w:rsidP="00844989">
      <w:pPr>
        <w:shd w:val="clear" w:color="auto" w:fill="FFFFFF"/>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1.2 Вклад в достижение целей НСРР 2022–2028</w:t>
      </w:r>
    </w:p>
    <w:p w:rsidR="007C6946" w:rsidRDefault="00096964" w:rsidP="00A857A4">
      <w:pPr>
        <w:shd w:val="clear" w:color="auto" w:fill="FFFFFF"/>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Региональная Операционная Программа </w:t>
      </w:r>
      <w:r w:rsidR="007C6946">
        <w:rPr>
          <w:rFonts w:ascii="Times New Roman" w:eastAsia="Times New Roman" w:hAnsi="Times New Roman" w:cs="Times New Roman"/>
          <w:color w:val="000000"/>
          <w:sz w:val="24"/>
          <w:szCs w:val="24"/>
          <w:lang w:val="ru-RU"/>
        </w:rPr>
        <w:t>АТО Гагаузия</w:t>
      </w:r>
      <w:r w:rsidR="007C6946" w:rsidRPr="007C6946">
        <w:rPr>
          <w:rFonts w:ascii="Times New Roman" w:eastAsia="Times New Roman" w:hAnsi="Times New Roman" w:cs="Times New Roman"/>
          <w:color w:val="000000"/>
          <w:sz w:val="24"/>
          <w:szCs w:val="24"/>
          <w:lang w:val="ru-RU"/>
        </w:rPr>
        <w:t xml:space="preserve"> — это основной программный до</w:t>
      </w:r>
      <w:r w:rsidR="007C6946">
        <w:rPr>
          <w:rFonts w:ascii="Times New Roman" w:eastAsia="Times New Roman" w:hAnsi="Times New Roman" w:cs="Times New Roman"/>
          <w:color w:val="000000"/>
          <w:sz w:val="24"/>
          <w:szCs w:val="24"/>
          <w:lang w:val="ru-RU"/>
        </w:rPr>
        <w:t>кумент, разработанный на уровне Региона развития АТО Гагаузия</w:t>
      </w:r>
      <w:r w:rsidR="007C6946" w:rsidRPr="007C6946">
        <w:rPr>
          <w:rFonts w:ascii="Times New Roman" w:eastAsia="Times New Roman" w:hAnsi="Times New Roman" w:cs="Times New Roman"/>
          <w:color w:val="000000"/>
          <w:sz w:val="24"/>
          <w:szCs w:val="24"/>
          <w:lang w:val="ru-RU"/>
        </w:rPr>
        <w:t>, который обеспечивает соответствие Национальной стратегии регионального развития на 2022-2028 годы и мероприятиям, запланированным на региональном уровне. РОП</w:t>
      </w:r>
      <w:r w:rsidR="007C6946">
        <w:rPr>
          <w:rFonts w:ascii="Times New Roman" w:eastAsia="Times New Roman" w:hAnsi="Times New Roman" w:cs="Times New Roman"/>
          <w:color w:val="000000"/>
          <w:sz w:val="24"/>
          <w:szCs w:val="24"/>
          <w:lang w:val="ru-RU"/>
        </w:rPr>
        <w:t xml:space="preserve"> Гагаузии воплощает общие цели НСРР</w:t>
      </w:r>
      <w:r w:rsidR="007C6946" w:rsidRPr="007C6946">
        <w:rPr>
          <w:rFonts w:ascii="Times New Roman" w:eastAsia="Times New Roman" w:hAnsi="Times New Roman" w:cs="Times New Roman"/>
          <w:color w:val="000000"/>
          <w:sz w:val="24"/>
          <w:szCs w:val="24"/>
          <w:lang w:val="ru-RU"/>
        </w:rPr>
        <w:t xml:space="preserve"> на 2022-2028 годы. </w:t>
      </w:r>
    </w:p>
    <w:p w:rsidR="00A857A4" w:rsidRDefault="00A857A4" w:rsidP="00A857A4">
      <w:pPr>
        <w:shd w:val="clear" w:color="auto" w:fill="FFFFFF"/>
        <w:spacing w:after="0" w:line="240" w:lineRule="auto"/>
        <w:jc w:val="both"/>
        <w:rPr>
          <w:rFonts w:ascii="Times New Roman" w:eastAsia="Times New Roman" w:hAnsi="Times New Roman" w:cs="Times New Roman"/>
          <w:color w:val="000000"/>
          <w:sz w:val="24"/>
          <w:szCs w:val="24"/>
          <w:lang w:val="ru-RU"/>
        </w:rPr>
      </w:pPr>
    </w:p>
    <w:p w:rsidR="00A47A44" w:rsidRPr="007C6946" w:rsidRDefault="00096964"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Региональная Операционная Программа </w:t>
      </w:r>
      <w:r w:rsidR="00A47A44">
        <w:rPr>
          <w:rFonts w:ascii="Times New Roman" w:eastAsia="Times New Roman" w:hAnsi="Times New Roman" w:cs="Times New Roman"/>
          <w:color w:val="000000"/>
          <w:sz w:val="24"/>
          <w:szCs w:val="24"/>
          <w:lang w:val="ru-RU"/>
        </w:rPr>
        <w:t xml:space="preserve">региона развития АТО Гагаузия 2026–2028 гг. интегрирует на региональном уровне цели НСРР 2022–2028 гг., </w:t>
      </w:r>
      <w:r>
        <w:rPr>
          <w:rFonts w:ascii="Times New Roman" w:eastAsia="Times New Roman" w:hAnsi="Times New Roman" w:cs="Times New Roman"/>
          <w:color w:val="000000"/>
          <w:sz w:val="24"/>
          <w:szCs w:val="24"/>
          <w:lang w:val="ru-RU"/>
        </w:rPr>
        <w:t>отражая</w:t>
      </w:r>
      <w:r w:rsidR="00A47A44">
        <w:rPr>
          <w:rFonts w:ascii="Times New Roman" w:eastAsia="Times New Roman" w:hAnsi="Times New Roman" w:cs="Times New Roman"/>
          <w:color w:val="000000"/>
          <w:sz w:val="24"/>
          <w:szCs w:val="24"/>
          <w:lang w:val="ru-RU"/>
        </w:rPr>
        <w:t xml:space="preserve"> средства интервенции и среднесрочные приоритеты</w:t>
      </w:r>
      <w:r>
        <w:rPr>
          <w:rFonts w:ascii="Times New Roman" w:eastAsia="Times New Roman" w:hAnsi="Times New Roman" w:cs="Times New Roman"/>
          <w:color w:val="000000"/>
          <w:sz w:val="24"/>
          <w:szCs w:val="24"/>
          <w:lang w:val="ru-RU"/>
        </w:rPr>
        <w:t>,</w:t>
      </w:r>
      <w:r w:rsidR="00A47A44">
        <w:rPr>
          <w:rFonts w:ascii="Times New Roman" w:eastAsia="Times New Roman" w:hAnsi="Times New Roman" w:cs="Times New Roman"/>
          <w:color w:val="000000"/>
          <w:sz w:val="24"/>
          <w:szCs w:val="24"/>
          <w:lang w:val="ru-RU"/>
        </w:rPr>
        <w:t xml:space="preserve"> в зависимости от потребностей развития региона АТО Гагаузия и проблем, присущих региональному уровню, являясь инструментом повышения эффективности использования регионального потенциала. На региональном уровне выделены следующие основные приоритеты: </w:t>
      </w:r>
    </w:p>
    <w:p w:rsidR="00096964" w:rsidRPr="00096964" w:rsidRDefault="00A47A44" w:rsidP="00A47A44">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 xml:space="preserve">Повышение конкурентоспособности экономики региона развития АТО Гагаузия. </w:t>
      </w:r>
    </w:p>
    <w:p w:rsidR="00096964" w:rsidRDefault="00A47A44" w:rsidP="00096964">
      <w:pPr>
        <w:shd w:val="clear" w:color="auto" w:fill="FFFFFF"/>
        <w:tabs>
          <w:tab w:val="left" w:pos="720"/>
        </w:tabs>
        <w:spacing w:after="0" w:line="240" w:lineRule="auto"/>
        <w:ind w:left="720"/>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Действия в этом приоритете будут ориентированы по направлениям: </w:t>
      </w:r>
    </w:p>
    <w:p w:rsidR="00096964" w:rsidRDefault="00096964" w:rsidP="00096964">
      <w:pPr>
        <w:shd w:val="clear" w:color="auto" w:fill="FFFFFF"/>
        <w:tabs>
          <w:tab w:val="left" w:pos="1276"/>
        </w:tabs>
        <w:spacing w:after="0" w:line="240" w:lineRule="auto"/>
        <w:ind w:left="1134"/>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r w:rsidR="00A47A44">
        <w:rPr>
          <w:rFonts w:ascii="Times New Roman" w:eastAsia="Times New Roman" w:hAnsi="Times New Roman" w:cs="Times New Roman"/>
          <w:color w:val="000000"/>
          <w:sz w:val="24"/>
          <w:szCs w:val="24"/>
          <w:lang w:val="ru-RU"/>
        </w:rPr>
        <w:t xml:space="preserve">усиление роли и функций городов, как движущих сил повышения конкурентоспособности региона развития АТО Гагаузия; </w:t>
      </w:r>
    </w:p>
    <w:p w:rsidR="00096964" w:rsidRDefault="00096964" w:rsidP="00096964">
      <w:pPr>
        <w:shd w:val="clear" w:color="auto" w:fill="FFFFFF"/>
        <w:tabs>
          <w:tab w:val="left" w:pos="1276"/>
        </w:tabs>
        <w:spacing w:after="0" w:line="240" w:lineRule="auto"/>
        <w:ind w:left="1134"/>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r w:rsidR="00A47A44">
        <w:rPr>
          <w:rFonts w:ascii="Times New Roman" w:eastAsia="Times New Roman" w:hAnsi="Times New Roman" w:cs="Times New Roman"/>
          <w:color w:val="000000"/>
          <w:sz w:val="24"/>
          <w:szCs w:val="24"/>
          <w:lang w:val="ru-RU"/>
        </w:rPr>
        <w:t xml:space="preserve">улучшение предпринимательской среды в регионе; </w:t>
      </w:r>
    </w:p>
    <w:p w:rsidR="00A47A44" w:rsidRDefault="00096964" w:rsidP="00096964">
      <w:pPr>
        <w:shd w:val="clear" w:color="auto" w:fill="FFFFFF"/>
        <w:tabs>
          <w:tab w:val="left" w:pos="1276"/>
        </w:tabs>
        <w:spacing w:after="0" w:line="240" w:lineRule="auto"/>
        <w:ind w:left="1134"/>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r w:rsidR="00A47A44">
        <w:rPr>
          <w:rFonts w:ascii="Times New Roman" w:eastAsia="Times New Roman" w:hAnsi="Times New Roman" w:cs="Times New Roman"/>
          <w:color w:val="000000"/>
          <w:sz w:val="24"/>
          <w:szCs w:val="24"/>
          <w:lang w:val="ru-RU"/>
        </w:rPr>
        <w:t>выявление и продвижение приоритетов умной специализации в регионе развития АТО Гагаузия.</w:t>
      </w:r>
    </w:p>
    <w:p w:rsidR="00A47A44" w:rsidRDefault="00A47A44" w:rsidP="00A47A44">
      <w:pPr>
        <w:numPr>
          <w:ilvl w:val="0"/>
          <w:numId w:val="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Совершенствование региональной инфраструктуры социально-экономического и пространственного развития. </w:t>
      </w:r>
    </w:p>
    <w:p w:rsidR="00096964" w:rsidRDefault="00A47A44" w:rsidP="00A47A44">
      <w:pPr>
        <w:spacing w:after="0" w:line="240" w:lineRule="auto"/>
        <w:ind w:left="72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В этих целях, необходимы действия по следующим направлениям: </w:t>
      </w:r>
    </w:p>
    <w:p w:rsidR="00096964" w:rsidRDefault="00096964" w:rsidP="00096964">
      <w:pPr>
        <w:shd w:val="clear" w:color="auto" w:fill="FFFFFF"/>
        <w:tabs>
          <w:tab w:val="left" w:pos="1276"/>
        </w:tabs>
        <w:spacing w:after="0" w:line="240" w:lineRule="auto"/>
        <w:ind w:left="1134"/>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lastRenderedPageBreak/>
        <w:t>-</w:t>
      </w:r>
      <w:r w:rsidR="00A47A44">
        <w:rPr>
          <w:rFonts w:ascii="Times New Roman" w:eastAsia="Times New Roman" w:hAnsi="Times New Roman" w:cs="Times New Roman"/>
          <w:color w:val="000000"/>
          <w:sz w:val="24"/>
          <w:szCs w:val="24"/>
          <w:lang w:val="ru-RU"/>
        </w:rPr>
        <w:t xml:space="preserve">улучшение основной технической и коммунальной инфраструктуры в регионе развития АТО Гагаузия и выравнивание диспропорции в развитии населенных пунктов внутри региона; </w:t>
      </w:r>
    </w:p>
    <w:p w:rsidR="00096964" w:rsidRDefault="00096964" w:rsidP="00096964">
      <w:pPr>
        <w:shd w:val="clear" w:color="auto" w:fill="FFFFFF"/>
        <w:tabs>
          <w:tab w:val="left" w:pos="1276"/>
        </w:tabs>
        <w:spacing w:after="0" w:line="240" w:lineRule="auto"/>
        <w:ind w:left="1134"/>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r w:rsidR="00A47A44">
        <w:rPr>
          <w:rFonts w:ascii="Times New Roman" w:eastAsia="Times New Roman" w:hAnsi="Times New Roman" w:cs="Times New Roman"/>
          <w:color w:val="000000"/>
          <w:sz w:val="24"/>
          <w:szCs w:val="24"/>
          <w:lang w:val="ru-RU"/>
        </w:rPr>
        <w:t xml:space="preserve">развитие бизнес-инфраструктуры региона; </w:t>
      </w:r>
    </w:p>
    <w:p w:rsidR="00A47A44" w:rsidRPr="00096964" w:rsidRDefault="00096964" w:rsidP="00096964">
      <w:pPr>
        <w:shd w:val="clear" w:color="auto" w:fill="FFFFFF"/>
        <w:tabs>
          <w:tab w:val="left" w:pos="1276"/>
        </w:tabs>
        <w:spacing w:after="0" w:line="240" w:lineRule="auto"/>
        <w:ind w:left="1134"/>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r w:rsidR="00A47A44">
        <w:rPr>
          <w:rFonts w:ascii="Times New Roman" w:eastAsia="Times New Roman" w:hAnsi="Times New Roman" w:cs="Times New Roman"/>
          <w:color w:val="000000"/>
          <w:sz w:val="24"/>
          <w:szCs w:val="24"/>
          <w:lang w:val="ru-RU"/>
        </w:rPr>
        <w:t>восстановление экологического баланса, посредством поддержки процесса адаптации региона к изменению климата, предотвращения рисков и устойчивости к бедствиям.</w:t>
      </w:r>
    </w:p>
    <w:p w:rsidR="00A47A44" w:rsidRDefault="00A47A44" w:rsidP="00A47A44">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Совершенствование инструментов координации и реализации национальной политики регионального развития </w:t>
      </w:r>
    </w:p>
    <w:p w:rsidR="00A47A44" w:rsidRDefault="00A47A44" w:rsidP="008B4F10">
      <w:pPr>
        <w:spacing w:after="0" w:line="240" w:lineRule="auto"/>
        <w:ind w:left="1134"/>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Действия в рамках данного приоритета будут направлены на дальнейшее совершенствование системы управления региональным развитием посредством дальнейшего укрепления институционального и административного потенциала, мобилизации усилий для формирования региональных проектов, роста эффективности системы мониторинга и оценки в системе регионального развития.</w:t>
      </w:r>
    </w:p>
    <w:p w:rsidR="00A47A44" w:rsidRDefault="00A47A44" w:rsidP="00A47A44">
      <w:pPr>
        <w:shd w:val="clear" w:color="auto" w:fill="FFFFFF"/>
        <w:spacing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Запланированные меры интервенции для реализации вышеперечисленных приоритетов будут внедряться</w:t>
      </w:r>
      <w:r w:rsidR="008B4F10">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 xml:space="preserve"> как в рамках программ, финансируемых из Национального фонда регионального</w:t>
      </w:r>
      <w:r w:rsidR="00A857A4">
        <w:rPr>
          <w:rFonts w:ascii="Times New Roman" w:eastAsia="Times New Roman" w:hAnsi="Times New Roman" w:cs="Times New Roman"/>
          <w:color w:val="000000"/>
          <w:sz w:val="24"/>
          <w:szCs w:val="24"/>
          <w:lang w:val="ru-RU"/>
        </w:rPr>
        <w:t xml:space="preserve"> и местного</w:t>
      </w:r>
      <w:r>
        <w:rPr>
          <w:rFonts w:ascii="Times New Roman" w:eastAsia="Times New Roman" w:hAnsi="Times New Roman" w:cs="Times New Roman"/>
          <w:color w:val="000000"/>
          <w:sz w:val="24"/>
          <w:szCs w:val="24"/>
          <w:lang w:val="ru-RU"/>
        </w:rPr>
        <w:t xml:space="preserve"> развития, так и из других национальных и внешних фондов. В этой связи необходима мобилизация потенциала региональных субъектов и заинтересованных групп для выявления проблем и препятствий в развитии региона, создания партнерских отношений, а также для разработки и внедрения региональных проектов.</w:t>
      </w:r>
    </w:p>
    <w:p w:rsidR="00A47A44" w:rsidRDefault="00A47A44" w:rsidP="00844989">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1.3 Процесс и принципы разработки</w:t>
      </w:r>
      <w:r w:rsidR="00E652BA">
        <w:rPr>
          <w:rFonts w:ascii="Times New Roman" w:eastAsia="Times New Roman" w:hAnsi="Times New Roman" w:cs="Times New Roman"/>
          <w:b/>
          <w:bCs/>
          <w:color w:val="000000"/>
          <w:sz w:val="24"/>
          <w:szCs w:val="24"/>
          <w:lang w:val="ru-RU"/>
        </w:rPr>
        <w:t xml:space="preserve"> РОП</w:t>
      </w:r>
      <w:r>
        <w:rPr>
          <w:rFonts w:ascii="Times New Roman" w:eastAsia="Times New Roman" w:hAnsi="Times New Roman" w:cs="Times New Roman"/>
          <w:b/>
          <w:bCs/>
          <w:color w:val="000000"/>
          <w:sz w:val="24"/>
          <w:szCs w:val="24"/>
          <w:lang w:val="ru-RU"/>
        </w:rPr>
        <w:t xml:space="preserve"> </w:t>
      </w:r>
      <w:r w:rsidR="00E652BA">
        <w:rPr>
          <w:rFonts w:ascii="Times New Roman" w:eastAsia="Times New Roman" w:hAnsi="Times New Roman" w:cs="Times New Roman"/>
          <w:b/>
          <w:bCs/>
          <w:color w:val="000000"/>
          <w:sz w:val="24"/>
          <w:szCs w:val="24"/>
          <w:lang w:val="ru-RU"/>
        </w:rPr>
        <w:t>АТО Гагаузия</w:t>
      </w:r>
    </w:p>
    <w:p w:rsidR="00346506" w:rsidRDefault="00346506" w:rsidP="00A47A44">
      <w:pPr>
        <w:spacing w:after="100" w:line="240" w:lineRule="auto"/>
        <w:jc w:val="both"/>
        <w:rPr>
          <w:rFonts w:ascii="Times New Roman" w:eastAsia="Times New Roman" w:hAnsi="Times New Roman" w:cs="Times New Roman"/>
          <w:color w:val="000000"/>
          <w:sz w:val="24"/>
          <w:szCs w:val="24"/>
          <w:lang w:val="ru-RU"/>
        </w:rPr>
      </w:pPr>
      <w:r w:rsidRPr="00A857A4">
        <w:rPr>
          <w:rFonts w:ascii="Times New Roman" w:eastAsia="Times New Roman" w:hAnsi="Times New Roman" w:cs="Times New Roman"/>
          <w:sz w:val="24"/>
          <w:szCs w:val="24"/>
          <w:lang w:val="ru-RU"/>
        </w:rPr>
        <w:t xml:space="preserve">Программа разработана в соответствии с положениями Постановления Правительства № 386/2020 о стратегическом планировании, а также с </w:t>
      </w:r>
      <w:r w:rsidRPr="00346506">
        <w:rPr>
          <w:rFonts w:ascii="Times New Roman" w:eastAsia="Times New Roman" w:hAnsi="Times New Roman" w:cs="Times New Roman"/>
          <w:sz w:val="24"/>
          <w:szCs w:val="24"/>
          <w:lang w:val="ru-RU"/>
        </w:rPr>
        <w:t xml:space="preserve">Методологией разработки, утверждения и реализации региональных оперативных программ, утвержденной Приказом </w:t>
      </w:r>
      <w:r w:rsidRPr="00346506">
        <w:rPr>
          <w:rFonts w:ascii="Times New Roman" w:eastAsia="Times New Roman" w:hAnsi="Times New Roman" w:cs="Times New Roman"/>
          <w:color w:val="000000"/>
          <w:sz w:val="24"/>
          <w:szCs w:val="24"/>
          <w:lang w:val="ru-RU"/>
        </w:rPr>
        <w:t>МИРР</w:t>
      </w:r>
      <w:r w:rsidRPr="00346506">
        <w:rPr>
          <w:rFonts w:ascii="Times New Roman" w:eastAsia="Times New Roman" w:hAnsi="Times New Roman" w:cs="Times New Roman"/>
          <w:sz w:val="24"/>
          <w:szCs w:val="24"/>
          <w:lang w:val="ru-RU"/>
        </w:rPr>
        <w:t xml:space="preserve"> № </w:t>
      </w:r>
      <w:r>
        <w:rPr>
          <w:rFonts w:ascii="Times New Roman" w:eastAsia="Times New Roman" w:hAnsi="Times New Roman" w:cs="Times New Roman"/>
          <w:sz w:val="24"/>
          <w:szCs w:val="24"/>
          <w:lang w:val="ru-RU"/>
        </w:rPr>
        <w:t>---</w:t>
      </w:r>
      <w:r w:rsidRPr="00346506">
        <w:rPr>
          <w:rFonts w:ascii="Times New Roman" w:eastAsia="Times New Roman" w:hAnsi="Times New Roman" w:cs="Times New Roman"/>
          <w:sz w:val="24"/>
          <w:szCs w:val="24"/>
          <w:lang w:val="ru-RU"/>
        </w:rPr>
        <w:t xml:space="preserve"> от </w:t>
      </w:r>
      <w:r>
        <w:rPr>
          <w:rFonts w:ascii="Times New Roman" w:eastAsia="Times New Roman" w:hAnsi="Times New Roman" w:cs="Times New Roman"/>
          <w:sz w:val="24"/>
          <w:szCs w:val="24"/>
          <w:lang w:val="ru-RU"/>
        </w:rPr>
        <w:t>----</w:t>
      </w:r>
      <w:r w:rsidRPr="00346506">
        <w:rPr>
          <w:rFonts w:ascii="Times New Roman" w:eastAsia="Times New Roman" w:hAnsi="Times New Roman" w:cs="Times New Roman"/>
          <w:sz w:val="24"/>
          <w:szCs w:val="24"/>
          <w:lang w:val="ru-RU"/>
        </w:rPr>
        <w:t xml:space="preserve"> ,</w:t>
      </w:r>
      <w:r w:rsidRPr="00A857A4">
        <w:rPr>
          <w:rFonts w:ascii="Times New Roman" w:eastAsia="Times New Roman" w:hAnsi="Times New Roman" w:cs="Times New Roman"/>
          <w:sz w:val="24"/>
          <w:szCs w:val="24"/>
          <w:lang w:val="ru-RU"/>
        </w:rPr>
        <w:t xml:space="preserve"> который устанавливает содержание</w:t>
      </w:r>
      <w:r>
        <w:rPr>
          <w:rFonts w:ascii="Times New Roman" w:eastAsia="Times New Roman" w:hAnsi="Times New Roman" w:cs="Times New Roman"/>
          <w:sz w:val="24"/>
          <w:szCs w:val="24"/>
          <w:lang w:val="ru-RU"/>
        </w:rPr>
        <w:t xml:space="preserve"> данной</w:t>
      </w:r>
      <w:r w:rsidRPr="00A857A4">
        <w:rPr>
          <w:rFonts w:ascii="Times New Roman" w:eastAsia="Times New Roman" w:hAnsi="Times New Roman" w:cs="Times New Roman"/>
          <w:sz w:val="24"/>
          <w:szCs w:val="24"/>
          <w:lang w:val="ru-RU"/>
        </w:rPr>
        <w:t xml:space="preserve"> программы, рамки ее разработки, согласования и утверждения, с соблюдением всех основополагающих принципов, лежащих в основе процесса планирования</w:t>
      </w:r>
      <w:r w:rsidR="00A47A44" w:rsidRPr="00346506">
        <w:rPr>
          <w:rFonts w:ascii="Times New Roman" w:eastAsia="Times New Roman" w:hAnsi="Times New Roman" w:cs="Times New Roman"/>
          <w:color w:val="000000"/>
          <w:sz w:val="24"/>
          <w:szCs w:val="24"/>
          <w:lang w:val="ru-RU"/>
        </w:rPr>
        <w:t>.</w:t>
      </w:r>
      <w:r w:rsidR="00A47A44">
        <w:rPr>
          <w:rFonts w:ascii="Times New Roman" w:eastAsia="Times New Roman" w:hAnsi="Times New Roman" w:cs="Times New Roman"/>
          <w:color w:val="000000"/>
          <w:sz w:val="24"/>
          <w:szCs w:val="24"/>
          <w:lang w:val="ru-RU"/>
        </w:rPr>
        <w:t xml:space="preserve"> </w:t>
      </w:r>
    </w:p>
    <w:p w:rsidR="00A47A44" w:rsidRPr="00346506" w:rsidRDefault="00A47A44" w:rsidP="00A47A44">
      <w:pPr>
        <w:spacing w:after="10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Методологический подход призван обеспечить:</w:t>
      </w:r>
    </w:p>
    <w:p w:rsidR="00A47A44" w:rsidRPr="008B4F10" w:rsidRDefault="00A47A44" w:rsidP="008B4F10">
      <w:pPr>
        <w:pStyle w:val="a3"/>
        <w:numPr>
          <w:ilvl w:val="0"/>
          <w:numId w:val="31"/>
        </w:numPr>
        <w:spacing w:after="0" w:line="240" w:lineRule="auto"/>
        <w:jc w:val="both"/>
        <w:rPr>
          <w:rFonts w:ascii="Times New Roman" w:eastAsia="Times New Roman" w:hAnsi="Times New Roman" w:cs="Times New Roman"/>
          <w:sz w:val="24"/>
          <w:szCs w:val="24"/>
          <w:lang w:val="ru-RU"/>
        </w:rPr>
      </w:pPr>
      <w:r w:rsidRPr="008B4F10">
        <w:rPr>
          <w:rFonts w:ascii="Times New Roman" w:eastAsia="Times New Roman" w:hAnsi="Times New Roman" w:cs="Times New Roman"/>
          <w:color w:val="000000"/>
          <w:sz w:val="24"/>
          <w:szCs w:val="24"/>
          <w:lang w:val="ru-RU"/>
        </w:rPr>
        <w:t>максимальную вовлеченность участников процесса регионального развития в происходящие процессы планирования;</w:t>
      </w:r>
    </w:p>
    <w:p w:rsidR="00A47A44" w:rsidRPr="008B4F10" w:rsidRDefault="00A47A44" w:rsidP="008B4F10">
      <w:pPr>
        <w:pStyle w:val="a3"/>
        <w:numPr>
          <w:ilvl w:val="0"/>
          <w:numId w:val="31"/>
        </w:numPr>
        <w:spacing w:after="0" w:line="240" w:lineRule="auto"/>
        <w:jc w:val="both"/>
        <w:rPr>
          <w:rFonts w:ascii="Times New Roman" w:eastAsia="Times New Roman" w:hAnsi="Times New Roman" w:cs="Times New Roman"/>
          <w:sz w:val="24"/>
          <w:szCs w:val="24"/>
          <w:lang w:val="ru-RU"/>
        </w:rPr>
      </w:pPr>
      <w:r w:rsidRPr="008B4F10">
        <w:rPr>
          <w:rFonts w:ascii="Times New Roman" w:eastAsia="Times New Roman" w:hAnsi="Times New Roman" w:cs="Times New Roman"/>
          <w:color w:val="000000"/>
          <w:sz w:val="24"/>
          <w:szCs w:val="24"/>
          <w:lang w:val="ru-RU"/>
        </w:rPr>
        <w:t>соответствие РОПГ основным документам политики регионального развития;</w:t>
      </w:r>
    </w:p>
    <w:p w:rsidR="00A47A44" w:rsidRPr="008B4F10" w:rsidRDefault="00A47A44" w:rsidP="008B4F10">
      <w:pPr>
        <w:pStyle w:val="a3"/>
        <w:numPr>
          <w:ilvl w:val="0"/>
          <w:numId w:val="31"/>
        </w:numPr>
        <w:spacing w:after="0" w:line="240" w:lineRule="auto"/>
        <w:jc w:val="both"/>
        <w:rPr>
          <w:rFonts w:ascii="Times New Roman" w:eastAsia="Times New Roman" w:hAnsi="Times New Roman" w:cs="Times New Roman"/>
          <w:color w:val="000000"/>
          <w:sz w:val="24"/>
          <w:szCs w:val="24"/>
          <w:lang w:val="ru-RU"/>
        </w:rPr>
      </w:pPr>
      <w:r w:rsidRPr="008B4F10">
        <w:rPr>
          <w:rFonts w:ascii="Times New Roman" w:eastAsia="Times New Roman" w:hAnsi="Times New Roman" w:cs="Times New Roman"/>
          <w:color w:val="000000"/>
          <w:sz w:val="24"/>
          <w:szCs w:val="24"/>
          <w:lang w:val="ru-RU"/>
        </w:rPr>
        <w:t>оптимизацию механизмов планирования и распределения финансовых ресурсов, необходимых для поддержки устойчивого регионального развития;</w:t>
      </w:r>
    </w:p>
    <w:p w:rsidR="00A47A44" w:rsidRPr="008B4F10" w:rsidRDefault="00A47A44" w:rsidP="008B4F10">
      <w:pPr>
        <w:pStyle w:val="a3"/>
        <w:numPr>
          <w:ilvl w:val="0"/>
          <w:numId w:val="31"/>
        </w:numPr>
        <w:spacing w:after="0" w:line="240" w:lineRule="auto"/>
        <w:jc w:val="both"/>
        <w:rPr>
          <w:rFonts w:ascii="Times New Roman" w:eastAsia="Times New Roman" w:hAnsi="Times New Roman" w:cs="Times New Roman"/>
          <w:color w:val="000000"/>
          <w:sz w:val="24"/>
          <w:szCs w:val="24"/>
          <w:lang w:val="ru-RU"/>
        </w:rPr>
      </w:pPr>
      <w:r w:rsidRPr="008B4F10">
        <w:rPr>
          <w:rFonts w:ascii="Times New Roman" w:eastAsia="Times New Roman" w:hAnsi="Times New Roman" w:cs="Times New Roman"/>
          <w:color w:val="000000"/>
          <w:sz w:val="24"/>
          <w:szCs w:val="24"/>
          <w:lang w:val="ru-RU"/>
        </w:rPr>
        <w:t>учёт специфики региона развития АТО Гагаузия.</w:t>
      </w:r>
    </w:p>
    <w:p w:rsidR="008B4F10" w:rsidRDefault="008B4F10" w:rsidP="00A47A44">
      <w:pPr>
        <w:spacing w:after="100" w:line="240" w:lineRule="auto"/>
        <w:jc w:val="both"/>
        <w:rPr>
          <w:rFonts w:ascii="Times New Roman" w:eastAsia="Times New Roman" w:hAnsi="Times New Roman" w:cs="Times New Roman"/>
          <w:color w:val="000000"/>
          <w:sz w:val="24"/>
          <w:szCs w:val="24"/>
          <w:lang w:val="ru-RU"/>
        </w:rPr>
      </w:pPr>
    </w:p>
    <w:p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Методологический подход процесса разработки РОПГ основан на следующих </w:t>
      </w:r>
      <w:r>
        <w:rPr>
          <w:rFonts w:ascii="Times New Roman" w:eastAsia="Times New Roman" w:hAnsi="Times New Roman" w:cs="Times New Roman"/>
          <w:b/>
          <w:bCs/>
          <w:color w:val="000000"/>
          <w:sz w:val="24"/>
          <w:szCs w:val="24"/>
          <w:lang w:val="ru-RU"/>
        </w:rPr>
        <w:t>принципах</w:t>
      </w:r>
      <w:r>
        <w:rPr>
          <w:rFonts w:ascii="Times New Roman" w:eastAsia="Times New Roman" w:hAnsi="Times New Roman" w:cs="Times New Roman"/>
          <w:color w:val="000000"/>
          <w:sz w:val="24"/>
          <w:szCs w:val="24"/>
          <w:lang w:val="ru-RU"/>
        </w:rPr>
        <w:t>:</w:t>
      </w:r>
    </w:p>
    <w:p w:rsidR="00A47A44" w:rsidRPr="00AB40DC" w:rsidRDefault="00A47A44" w:rsidP="00A47A44">
      <w:pPr>
        <w:spacing w:after="10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 xml:space="preserve">Согласование РОП </w:t>
      </w:r>
      <w:r>
        <w:rPr>
          <w:rFonts w:ascii="Times New Roman" w:eastAsia="Times New Roman" w:hAnsi="Times New Roman" w:cs="Times New Roman"/>
          <w:color w:val="000000"/>
          <w:sz w:val="24"/>
          <w:szCs w:val="24"/>
          <w:lang w:val="ru-RU"/>
        </w:rPr>
        <w:t xml:space="preserve">с основными документами, отражающими политику регионального развития, в частности, с Законом о региональном развитии, Национальной стратегией развития - 2030 и Национальной стратегией регионального развития 2022–2028, </w:t>
      </w:r>
      <w:r w:rsidRPr="00AB40DC">
        <w:rPr>
          <w:rFonts w:ascii="Times New Roman" w:eastAsia="Times New Roman" w:hAnsi="Times New Roman" w:cs="Times New Roman"/>
          <w:color w:val="000000"/>
          <w:sz w:val="24"/>
          <w:szCs w:val="24"/>
          <w:lang w:val="ru-RU"/>
        </w:rPr>
        <w:t>Национальной про</w:t>
      </w:r>
      <w:r>
        <w:rPr>
          <w:rFonts w:ascii="Times New Roman" w:eastAsia="Times New Roman" w:hAnsi="Times New Roman" w:cs="Times New Roman"/>
          <w:color w:val="000000"/>
          <w:sz w:val="24"/>
          <w:szCs w:val="24"/>
          <w:lang w:val="ru-RU"/>
        </w:rPr>
        <w:t xml:space="preserve">граммы развития городов-полюсов </w:t>
      </w:r>
      <w:r w:rsidRPr="00AB40DC">
        <w:rPr>
          <w:rFonts w:ascii="Times New Roman" w:eastAsia="Times New Roman" w:hAnsi="Times New Roman" w:cs="Times New Roman"/>
          <w:color w:val="000000"/>
          <w:sz w:val="24"/>
          <w:szCs w:val="24"/>
          <w:lang w:val="ru-RU"/>
        </w:rPr>
        <w:t>роста в Республике Молдова на 2021-2027 годы</w:t>
      </w:r>
      <w:r>
        <w:rPr>
          <w:rFonts w:ascii="Times New Roman" w:eastAsia="Times New Roman" w:hAnsi="Times New Roman" w:cs="Times New Roman"/>
          <w:color w:val="000000"/>
          <w:sz w:val="24"/>
          <w:szCs w:val="24"/>
          <w:lang w:val="ru-RU"/>
        </w:rPr>
        <w:t xml:space="preserve"> и другими программными документами.</w:t>
      </w:r>
    </w:p>
    <w:p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Многомерный аналитический подход.</w:t>
      </w:r>
      <w:r>
        <w:rPr>
          <w:rFonts w:ascii="Times New Roman" w:eastAsia="Times New Roman" w:hAnsi="Times New Roman" w:cs="Times New Roman"/>
          <w:color w:val="000000"/>
          <w:sz w:val="24"/>
          <w:szCs w:val="24"/>
          <w:lang w:val="ru-RU"/>
        </w:rPr>
        <w:t xml:space="preserve"> Основные приоритеты последовательной политики регионального развития базируются на результатах анализа экономических, социальных и экологических и др. показателей развития АТО Гагаузия, принимая во внимание результаты оценки нужд и потенциала развития. Основное внимание уделено цели, задачам и мерам регионального развития, изложенным в национальной политике в данной области, поддержанные партнерами по развитию.</w:t>
      </w:r>
    </w:p>
    <w:p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lastRenderedPageBreak/>
        <w:t xml:space="preserve">Активный процесс участия. </w:t>
      </w:r>
      <w:r>
        <w:rPr>
          <w:rFonts w:ascii="Times New Roman" w:eastAsia="Times New Roman" w:hAnsi="Times New Roman" w:cs="Times New Roman"/>
          <w:color w:val="000000"/>
          <w:sz w:val="24"/>
          <w:szCs w:val="24"/>
          <w:lang w:val="ru-RU"/>
        </w:rPr>
        <w:t>Разработка РОПГ основывается на вовлеченности всех заинтересованных сторон, представляющих правительственный, неправительственный сектора и региональные органы публичной власти. Это создает предпосылки для дальнейшего сотрудничества при разработке конкретных региональных и межрегиональных проектов.</w:t>
      </w:r>
    </w:p>
    <w:p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Ведущая роль учреждений РРГ в обеспечении прозрачности и гласности</w:t>
      </w:r>
      <w:r>
        <w:rPr>
          <w:rFonts w:ascii="Times New Roman" w:eastAsia="Times New Roman" w:hAnsi="Times New Roman" w:cs="Times New Roman"/>
          <w:color w:val="000000"/>
          <w:sz w:val="24"/>
          <w:szCs w:val="24"/>
          <w:lang w:val="ru-RU"/>
        </w:rPr>
        <w:t xml:space="preserve">. Согласно компетенции, на Агентство </w:t>
      </w:r>
      <w:r w:rsidR="008B4F10">
        <w:rPr>
          <w:rFonts w:ascii="Times New Roman" w:eastAsia="Times New Roman" w:hAnsi="Times New Roman" w:cs="Times New Roman"/>
          <w:color w:val="000000"/>
          <w:sz w:val="24"/>
          <w:szCs w:val="24"/>
          <w:lang w:val="ru-RU"/>
        </w:rPr>
        <w:t>Р</w:t>
      </w:r>
      <w:r>
        <w:rPr>
          <w:rFonts w:ascii="Times New Roman" w:eastAsia="Times New Roman" w:hAnsi="Times New Roman" w:cs="Times New Roman"/>
          <w:color w:val="000000"/>
          <w:sz w:val="24"/>
          <w:szCs w:val="24"/>
          <w:lang w:val="ru-RU"/>
        </w:rPr>
        <w:t xml:space="preserve">егионального </w:t>
      </w:r>
      <w:r w:rsidR="008B4F10">
        <w:rPr>
          <w:rFonts w:ascii="Times New Roman" w:eastAsia="Times New Roman" w:hAnsi="Times New Roman" w:cs="Times New Roman"/>
          <w:color w:val="000000"/>
          <w:sz w:val="24"/>
          <w:szCs w:val="24"/>
          <w:lang w:val="ru-RU"/>
        </w:rPr>
        <w:t>Р</w:t>
      </w:r>
      <w:r>
        <w:rPr>
          <w:rFonts w:ascii="Times New Roman" w:eastAsia="Times New Roman" w:hAnsi="Times New Roman" w:cs="Times New Roman"/>
          <w:color w:val="000000"/>
          <w:sz w:val="24"/>
          <w:szCs w:val="24"/>
          <w:lang w:val="ru-RU"/>
        </w:rPr>
        <w:t>азвития АТО Гагаузия была возложена функция обеспечения информированности и активного участия всех заинтересованных сторон в процессе планирования на региональном уровне. Агентство организовало процесс разработки РОП, содействовало определению нужд и синергии местного и регионального потенциала, обеспечило эффективное сотрудничество и диалог на всех этапах разработки РОП, включая процесс обсуждения с общественностью и представления РОП на утверждение Региональному совету по развитию АТО Гагаузия.</w:t>
      </w:r>
    </w:p>
    <w:p w:rsidR="00A47A44" w:rsidRDefault="00A47A44" w:rsidP="00A47A44">
      <w:pPr>
        <w:spacing w:after="10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Существенное и безусловное отображение в РОП АТО Гагаузия 2026–2028 гг. получили основные принципы поддержки регионального развития, определенные Законом о региональном развитии:</w:t>
      </w:r>
    </w:p>
    <w:p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sidRPr="008B4F10">
        <w:rPr>
          <w:rFonts w:ascii="Times New Roman" w:eastAsia="Times New Roman" w:hAnsi="Times New Roman" w:cs="Times New Roman"/>
          <w:b/>
          <w:bCs/>
          <w:i/>
          <w:iCs/>
          <w:color w:val="000000"/>
          <w:sz w:val="24"/>
          <w:szCs w:val="24"/>
          <w:lang w:val="ru-RU"/>
        </w:rPr>
        <w:t>Эффективность</w:t>
      </w:r>
      <w:r>
        <w:rPr>
          <w:rFonts w:ascii="Times New Roman" w:eastAsia="Times New Roman" w:hAnsi="Times New Roman" w:cs="Times New Roman"/>
          <w:color w:val="000000"/>
          <w:sz w:val="24"/>
          <w:szCs w:val="24"/>
          <w:lang w:val="ru-RU"/>
        </w:rPr>
        <w:t xml:space="preserve"> - эффективное использование природных, человеческих, финансовых и производственных ресурсов на всей территории Республики Молдова;</w:t>
      </w:r>
    </w:p>
    <w:p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sidRPr="008B4F10">
        <w:rPr>
          <w:rFonts w:ascii="Times New Roman" w:eastAsia="Times New Roman" w:hAnsi="Times New Roman" w:cs="Times New Roman"/>
          <w:b/>
          <w:bCs/>
          <w:i/>
          <w:iCs/>
          <w:color w:val="000000"/>
          <w:sz w:val="24"/>
          <w:szCs w:val="24"/>
          <w:lang w:val="ru-RU"/>
        </w:rPr>
        <w:t>Справедливость</w:t>
      </w:r>
      <w:r>
        <w:rPr>
          <w:rFonts w:ascii="Times New Roman" w:eastAsia="Times New Roman" w:hAnsi="Times New Roman" w:cs="Times New Roman"/>
          <w:color w:val="000000"/>
          <w:sz w:val="24"/>
          <w:szCs w:val="24"/>
          <w:lang w:val="ru-RU"/>
        </w:rPr>
        <w:t xml:space="preserve"> - равные права на доступ к экономическим, социальным и культурным ценностям всех граждан Республики Молдова независимо от места проживания;</w:t>
      </w:r>
    </w:p>
    <w:p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sidRPr="008B4F10">
        <w:rPr>
          <w:rFonts w:ascii="Times New Roman" w:eastAsia="Times New Roman" w:hAnsi="Times New Roman" w:cs="Times New Roman"/>
          <w:b/>
          <w:bCs/>
          <w:i/>
          <w:iCs/>
          <w:color w:val="000000"/>
          <w:sz w:val="24"/>
          <w:szCs w:val="24"/>
          <w:lang w:val="ru-RU"/>
        </w:rPr>
        <w:t>Устойчивость</w:t>
      </w:r>
      <w:r>
        <w:rPr>
          <w:rFonts w:ascii="Times New Roman" w:eastAsia="Times New Roman" w:hAnsi="Times New Roman" w:cs="Times New Roman"/>
          <w:i/>
          <w:iCs/>
          <w:color w:val="000000"/>
          <w:sz w:val="24"/>
          <w:szCs w:val="24"/>
          <w:lang w:val="ru-RU"/>
        </w:rPr>
        <w:t xml:space="preserve"> </w:t>
      </w:r>
      <w:r>
        <w:rPr>
          <w:rFonts w:ascii="Times New Roman" w:eastAsia="Times New Roman" w:hAnsi="Times New Roman" w:cs="Times New Roman"/>
          <w:color w:val="000000"/>
          <w:sz w:val="24"/>
          <w:szCs w:val="24"/>
          <w:lang w:val="ru-RU"/>
        </w:rPr>
        <w:t>- жизнеспособность с технической, финансовой и институциональной точки зрения финансируемых мер, программ и проектов регионального развития;</w:t>
      </w:r>
    </w:p>
    <w:p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sidRPr="008B4F10">
        <w:rPr>
          <w:rFonts w:ascii="Times New Roman" w:eastAsia="Times New Roman" w:hAnsi="Times New Roman" w:cs="Times New Roman"/>
          <w:b/>
          <w:bCs/>
          <w:i/>
          <w:iCs/>
          <w:color w:val="000000"/>
          <w:sz w:val="24"/>
          <w:szCs w:val="24"/>
          <w:lang w:val="ru-RU"/>
        </w:rPr>
        <w:t>Планирование</w:t>
      </w:r>
      <w:r>
        <w:rPr>
          <w:rFonts w:ascii="Times New Roman" w:eastAsia="Times New Roman" w:hAnsi="Times New Roman" w:cs="Times New Roman"/>
          <w:color w:val="000000"/>
          <w:sz w:val="24"/>
          <w:szCs w:val="24"/>
          <w:lang w:val="ru-RU"/>
        </w:rPr>
        <w:t xml:space="preserve"> - разработка и осуществление мер, программ и проектов регионального развития в соответствии с национальной стратегией развития, имеющей четко определенные цели, приоритеты и механизмы;</w:t>
      </w:r>
    </w:p>
    <w:p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sidRPr="008B4F10">
        <w:rPr>
          <w:rFonts w:ascii="Times New Roman" w:eastAsia="Times New Roman" w:hAnsi="Times New Roman" w:cs="Times New Roman"/>
          <w:b/>
          <w:bCs/>
          <w:i/>
          <w:iCs/>
          <w:color w:val="000000"/>
          <w:sz w:val="24"/>
          <w:szCs w:val="24"/>
          <w:lang w:val="ru-RU"/>
        </w:rPr>
        <w:t>Координация</w:t>
      </w:r>
      <w:r>
        <w:rPr>
          <w:rFonts w:ascii="Times New Roman" w:eastAsia="Times New Roman" w:hAnsi="Times New Roman" w:cs="Times New Roman"/>
          <w:color w:val="000000"/>
          <w:sz w:val="24"/>
          <w:szCs w:val="24"/>
          <w:lang w:val="ru-RU"/>
        </w:rPr>
        <w:t xml:space="preserve"> - как на национальном, так и на региональном уровне всех мер и задач по поддержке регионального развития;</w:t>
      </w:r>
    </w:p>
    <w:p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sidRPr="008B4F10">
        <w:rPr>
          <w:rFonts w:ascii="Times New Roman" w:eastAsia="Times New Roman" w:hAnsi="Times New Roman" w:cs="Times New Roman"/>
          <w:b/>
          <w:bCs/>
          <w:i/>
          <w:iCs/>
          <w:color w:val="000000"/>
          <w:sz w:val="24"/>
          <w:szCs w:val="24"/>
          <w:lang w:val="ru-RU"/>
        </w:rPr>
        <w:t>Партнерство</w:t>
      </w:r>
      <w:r>
        <w:rPr>
          <w:rFonts w:ascii="Times New Roman" w:eastAsia="Times New Roman" w:hAnsi="Times New Roman" w:cs="Times New Roman"/>
          <w:color w:val="000000"/>
          <w:sz w:val="24"/>
          <w:szCs w:val="24"/>
          <w:lang w:val="ru-RU"/>
        </w:rPr>
        <w:t xml:space="preserve"> - сотрудничество между центральными и местными органами публичного управления, государственным и частным секторами, а также гражданским обществом при планировании, разработке и реализации мер по поддержке регионального развития;</w:t>
      </w:r>
    </w:p>
    <w:p w:rsidR="00A47A44" w:rsidRDefault="00A47A44" w:rsidP="00A47A44">
      <w:pPr>
        <w:numPr>
          <w:ilvl w:val="0"/>
          <w:numId w:val="3"/>
        </w:numPr>
        <w:spacing w:after="0" w:line="240" w:lineRule="auto"/>
        <w:ind w:left="717"/>
        <w:jc w:val="both"/>
        <w:textAlignment w:val="baseline"/>
        <w:rPr>
          <w:rFonts w:ascii="Times New Roman" w:eastAsia="Times New Roman" w:hAnsi="Times New Roman" w:cs="Times New Roman"/>
          <w:color w:val="000000"/>
          <w:sz w:val="24"/>
          <w:szCs w:val="24"/>
          <w:lang w:val="ru-RU"/>
        </w:rPr>
      </w:pPr>
      <w:r w:rsidRPr="008B4F10">
        <w:rPr>
          <w:rFonts w:ascii="Times New Roman" w:eastAsia="Times New Roman" w:hAnsi="Times New Roman" w:cs="Times New Roman"/>
          <w:b/>
          <w:bCs/>
          <w:i/>
          <w:iCs/>
          <w:color w:val="000000"/>
          <w:sz w:val="24"/>
          <w:szCs w:val="24"/>
          <w:lang w:val="ru-RU"/>
        </w:rPr>
        <w:t>Транспарентность</w:t>
      </w:r>
      <w:r>
        <w:rPr>
          <w:rFonts w:ascii="Times New Roman" w:eastAsia="Times New Roman" w:hAnsi="Times New Roman" w:cs="Times New Roman"/>
          <w:color w:val="000000"/>
          <w:sz w:val="24"/>
          <w:szCs w:val="24"/>
          <w:lang w:val="ru-RU"/>
        </w:rPr>
        <w:t xml:space="preserve"> - прозрачность процессов выделения, распределения и использования средств для реализации программ и проектов регионального развития.</w:t>
      </w:r>
    </w:p>
    <w:p w:rsidR="00A47A44" w:rsidRDefault="0080580E" w:rsidP="00844989">
      <w:pPr>
        <w:spacing w:line="240" w:lineRule="auto"/>
        <w:jc w:val="both"/>
        <w:rPr>
          <w:rFonts w:ascii="Times New Roman" w:eastAsia="Times New Roman" w:hAnsi="Times New Roman" w:cs="Times New Roman"/>
          <w:sz w:val="24"/>
          <w:szCs w:val="24"/>
          <w:lang w:val="ru-RU"/>
        </w:rPr>
      </w:pPr>
      <w:r w:rsidRPr="0080580E">
        <w:rPr>
          <w:rFonts w:ascii="Times New Roman" w:eastAsia="Times New Roman" w:hAnsi="Times New Roman" w:cs="Times New Roman"/>
          <w:sz w:val="24"/>
          <w:szCs w:val="24"/>
          <w:lang w:val="ru-RU"/>
        </w:rPr>
        <w:t>Проект программы был вынесен на общественное обсуждение с участием всех заинтересованных сторон региона, имеющих отношение к политике регионального развития. На этом этапе были собраны замечания, предложения и рекомендации по улучшению, которые были включены в окончательную версию документа.</w:t>
      </w:r>
      <w:r>
        <w:rPr>
          <w:rFonts w:ascii="Times New Roman" w:eastAsia="Times New Roman" w:hAnsi="Times New Roman" w:cs="Times New Roman"/>
          <w:sz w:val="24"/>
          <w:szCs w:val="24"/>
          <w:lang w:val="ru-RU"/>
        </w:rPr>
        <w:t xml:space="preserve"> </w:t>
      </w:r>
    </w:p>
    <w:p w:rsidR="00A47A44" w:rsidRPr="00AB40DC" w:rsidRDefault="00A47A44" w:rsidP="00844989">
      <w:pPr>
        <w:pStyle w:val="a3"/>
        <w:numPr>
          <w:ilvl w:val="1"/>
          <w:numId w:val="8"/>
        </w:numPr>
        <w:spacing w:line="240" w:lineRule="auto"/>
        <w:ind w:left="426"/>
        <w:rPr>
          <w:rFonts w:ascii="Times New Roman" w:eastAsia="Times New Roman" w:hAnsi="Times New Roman" w:cs="Times New Roman"/>
          <w:b/>
          <w:bCs/>
          <w:color w:val="000000"/>
          <w:sz w:val="24"/>
          <w:szCs w:val="24"/>
          <w:lang w:val="ru-RU"/>
        </w:rPr>
      </w:pPr>
      <w:r w:rsidRPr="00AB40DC">
        <w:rPr>
          <w:rFonts w:ascii="Times New Roman" w:eastAsia="Times New Roman" w:hAnsi="Times New Roman" w:cs="Times New Roman"/>
          <w:b/>
          <w:bCs/>
          <w:color w:val="000000"/>
          <w:sz w:val="24"/>
          <w:szCs w:val="24"/>
          <w:lang w:val="ru-RU"/>
        </w:rPr>
        <w:t>Вовлечённые стороны</w:t>
      </w:r>
    </w:p>
    <w:p w:rsidR="00A47A44" w:rsidRDefault="00A47A44" w:rsidP="00A47A44">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В феврале 2026 года в рамках АРР АТО Гагаузия была создана рабочая группа, сформированная из представителей </w:t>
      </w:r>
      <w:r>
        <w:rPr>
          <w:rFonts w:ascii="Times New Roman" w:eastAsia="Times New Roman" w:hAnsi="Times New Roman" w:cs="Times New Roman"/>
          <w:sz w:val="24"/>
          <w:szCs w:val="24"/>
          <w:lang w:val="ru-RU"/>
        </w:rPr>
        <w:t xml:space="preserve">Министерства инфраструктуры и регионального развития, Регионального совета по развитию, </w:t>
      </w:r>
      <w:r>
        <w:rPr>
          <w:rFonts w:ascii="Times New Roman" w:eastAsia="Times New Roman" w:hAnsi="Times New Roman" w:cs="Times New Roman"/>
          <w:color w:val="000000"/>
          <w:sz w:val="24"/>
          <w:szCs w:val="24"/>
          <w:lang w:val="ru-RU"/>
        </w:rPr>
        <w:t>Исполнительного Комитета АТО Гагаузия, ОМПУ региона,</w:t>
      </w:r>
      <w:r>
        <w:rPr>
          <w:lang w:val="ru-RU"/>
        </w:rPr>
        <w:t xml:space="preserve"> </w:t>
      </w:r>
      <w:r>
        <w:rPr>
          <w:rFonts w:ascii="Times New Roman" w:eastAsia="Times New Roman" w:hAnsi="Times New Roman" w:cs="Times New Roman"/>
          <w:color w:val="000000"/>
          <w:sz w:val="24"/>
          <w:szCs w:val="24"/>
          <w:lang w:val="ru-RU"/>
        </w:rPr>
        <w:t>НПО, КГУ и специалистов Агентства регионального развития АТО Гагаузия. Таким образом, было обеспечено эффективное сотрудничество и вовлеченность всех заинтересованных сторон, представляющих правительственный, неправительственный сектор и региональные органы публичной власти</w:t>
      </w:r>
      <w:r w:rsidR="002E79D5">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 xml:space="preserve"> на стадии </w:t>
      </w:r>
      <w:r>
        <w:rPr>
          <w:rFonts w:ascii="Times New Roman" w:eastAsia="Times New Roman" w:hAnsi="Times New Roman" w:cs="Times New Roman"/>
          <w:color w:val="000000"/>
          <w:sz w:val="24"/>
          <w:szCs w:val="24"/>
          <w:lang w:val="ru-RU"/>
        </w:rPr>
        <w:lastRenderedPageBreak/>
        <w:t>разработки первоочередных мер и созданы предпосылки для дальнейшего сотрудничества при разработке конкретных региональных и межрегиональных проектов и программ. </w:t>
      </w:r>
    </w:p>
    <w:p w:rsidR="00A47A44" w:rsidRDefault="00A47A44" w:rsidP="008D1CF1">
      <w:pPr>
        <w:spacing w:after="0" w:line="240" w:lineRule="auto"/>
        <w:jc w:val="both"/>
        <w:rPr>
          <w:rFonts w:ascii="Times New Roman" w:eastAsia="Times New Roman" w:hAnsi="Times New Roman" w:cs="Times New Roman"/>
          <w:sz w:val="24"/>
          <w:szCs w:val="24"/>
          <w:lang w:val="ru-RU"/>
        </w:rPr>
      </w:pPr>
      <w:r w:rsidRPr="008D1CF1">
        <w:rPr>
          <w:rFonts w:ascii="Times New Roman" w:eastAsia="Times New Roman" w:hAnsi="Times New Roman" w:cs="Times New Roman"/>
          <w:color w:val="000000"/>
          <w:sz w:val="24"/>
          <w:szCs w:val="24"/>
          <w:lang w:val="ru-RU"/>
        </w:rPr>
        <w:t>Рабочая группа созывалась на протяжении всего периода разработки документа в 2026 гг. и активно участвовала в процессе многоуровневой консультации проекта РОП и публичных слушаний. Данный процесс был нацелен на обеспечение транспарентности, повышение роли гражданского общества и частного сектора в определении приоритетов развития региона АТО Гагаузия. АРРГ обеспечило тщательный анализ и отбор мнений, высказанных в ходе общественных консультаций, в целях их систематизации и последующего включения в РОПГ.</w:t>
      </w:r>
    </w:p>
    <w:p w:rsidR="00A47A44" w:rsidRDefault="00A47A44" w:rsidP="00A47A44">
      <w:pPr>
        <w:spacing w:after="0" w:line="240" w:lineRule="auto"/>
        <w:rPr>
          <w:rFonts w:ascii="Times New Roman" w:eastAsia="Times New Roman" w:hAnsi="Times New Roman" w:cs="Times New Roman"/>
          <w:sz w:val="24"/>
          <w:szCs w:val="24"/>
          <w:lang w:val="ru-RU"/>
        </w:rPr>
      </w:pPr>
    </w:p>
    <w:p w:rsidR="00A47A44" w:rsidRDefault="00A47A44" w:rsidP="00844989">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 xml:space="preserve">1.5 </w:t>
      </w:r>
      <w:r w:rsidR="00844989">
        <w:rPr>
          <w:rFonts w:ascii="Times New Roman" w:eastAsia="Times New Roman" w:hAnsi="Times New Roman" w:cs="Times New Roman"/>
          <w:b/>
          <w:bCs/>
          <w:color w:val="000000"/>
          <w:sz w:val="24"/>
          <w:szCs w:val="24"/>
          <w:lang w:val="ru-RU"/>
        </w:rPr>
        <w:t xml:space="preserve">  </w:t>
      </w:r>
      <w:r>
        <w:rPr>
          <w:rFonts w:ascii="Times New Roman" w:eastAsia="Times New Roman" w:hAnsi="Times New Roman" w:cs="Times New Roman"/>
          <w:b/>
          <w:bCs/>
          <w:color w:val="000000"/>
          <w:sz w:val="24"/>
          <w:szCs w:val="24"/>
          <w:lang w:val="ru-RU"/>
        </w:rPr>
        <w:t>Период внедрения</w:t>
      </w:r>
    </w:p>
    <w:p w:rsidR="00935CE2" w:rsidRDefault="00A47A44" w:rsidP="00A47A44">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sz w:val="24"/>
          <w:szCs w:val="24"/>
          <w:lang w:val="ru-RU"/>
        </w:rPr>
        <w:t>Региональная Опера</w:t>
      </w:r>
      <w:r w:rsidR="00F70993">
        <w:rPr>
          <w:rFonts w:ascii="Times New Roman" w:eastAsia="Times New Roman" w:hAnsi="Times New Roman" w:cs="Times New Roman"/>
          <w:color w:val="000000"/>
          <w:sz w:val="24"/>
          <w:szCs w:val="24"/>
          <w:lang w:val="ru-RU"/>
        </w:rPr>
        <w:t>цион</w:t>
      </w:r>
      <w:r>
        <w:rPr>
          <w:rFonts w:ascii="Times New Roman" w:eastAsia="Times New Roman" w:hAnsi="Times New Roman" w:cs="Times New Roman"/>
          <w:color w:val="000000"/>
          <w:sz w:val="24"/>
          <w:szCs w:val="24"/>
          <w:lang w:val="ru-RU"/>
        </w:rPr>
        <w:t xml:space="preserve">ная Программа является среднесрочным документом программирования и ориентирована на период 2026–2028 годы. Внедрение РОПГ 2026–2028 гг. будет осуществляться на основании планов внедрения РОПГ, </w:t>
      </w:r>
      <w:r>
        <w:rPr>
          <w:rFonts w:ascii="Times New Roman" w:eastAsia="Times New Roman" w:hAnsi="Times New Roman" w:cs="Times New Roman"/>
          <w:color w:val="000000" w:themeColor="text1"/>
          <w:sz w:val="24"/>
          <w:szCs w:val="24"/>
          <w:lang w:val="ru-RU"/>
        </w:rPr>
        <w:t>который будет отражен как в ежегодных планах внедрения РОПГ, так и в планах деятельности АРРГ.</w:t>
      </w:r>
    </w:p>
    <w:p w:rsidR="00F55F48" w:rsidRDefault="00A47A44" w:rsidP="00F55F48">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themeColor="text1"/>
          <w:sz w:val="24"/>
          <w:szCs w:val="24"/>
          <w:lang w:val="ru-RU"/>
        </w:rPr>
        <w:t xml:space="preserve"> </w:t>
      </w:r>
      <w:r>
        <w:rPr>
          <w:rFonts w:ascii="Times New Roman" w:eastAsia="Times New Roman" w:hAnsi="Times New Roman" w:cs="Times New Roman"/>
          <w:color w:val="000000"/>
          <w:sz w:val="24"/>
          <w:szCs w:val="24"/>
          <w:lang w:val="ru-RU"/>
        </w:rPr>
        <w:t xml:space="preserve">На протяжении данного периода возможна актуализация плана внедрения </w:t>
      </w:r>
      <w:r w:rsidR="002E79D5">
        <w:rPr>
          <w:rFonts w:ascii="Times New Roman" w:eastAsia="Times New Roman" w:hAnsi="Times New Roman" w:cs="Times New Roman"/>
          <w:color w:val="000000"/>
          <w:sz w:val="24"/>
          <w:szCs w:val="24"/>
          <w:lang w:val="ru-RU"/>
        </w:rPr>
        <w:t>П</w:t>
      </w:r>
      <w:r>
        <w:rPr>
          <w:rFonts w:ascii="Times New Roman" w:eastAsia="Times New Roman" w:hAnsi="Times New Roman" w:cs="Times New Roman"/>
          <w:color w:val="000000"/>
          <w:sz w:val="24"/>
          <w:szCs w:val="24"/>
          <w:lang w:val="ru-RU"/>
        </w:rPr>
        <w:t xml:space="preserve">рограммы в случае проведения ежегодных </w:t>
      </w:r>
      <w:r w:rsidR="00C132EB">
        <w:rPr>
          <w:rFonts w:ascii="Times New Roman" w:eastAsia="Times New Roman" w:hAnsi="Times New Roman" w:cs="Times New Roman"/>
          <w:color w:val="000000"/>
          <w:sz w:val="24"/>
          <w:szCs w:val="24"/>
          <w:lang w:val="ru-RU"/>
        </w:rPr>
        <w:t xml:space="preserve">конкурсов проектных </w:t>
      </w:r>
      <w:r w:rsidR="002E79D5">
        <w:rPr>
          <w:rFonts w:ascii="Times New Roman" w:eastAsia="Times New Roman" w:hAnsi="Times New Roman" w:cs="Times New Roman"/>
          <w:color w:val="000000"/>
          <w:sz w:val="24"/>
          <w:szCs w:val="24"/>
          <w:lang w:val="ru-RU"/>
        </w:rPr>
        <w:t>заявок</w:t>
      </w:r>
      <w:r w:rsidR="00C132EB">
        <w:rPr>
          <w:rFonts w:ascii="Times New Roman" w:eastAsia="Times New Roman" w:hAnsi="Times New Roman" w:cs="Times New Roman"/>
          <w:color w:val="000000"/>
          <w:sz w:val="24"/>
          <w:szCs w:val="24"/>
          <w:lang w:val="ru-RU"/>
        </w:rPr>
        <w:t>, предложенных на финансирование из средств НФРМР.</w:t>
      </w:r>
    </w:p>
    <w:p w:rsidR="00F55F48" w:rsidRDefault="00F55F48" w:rsidP="00F55F48">
      <w:pPr>
        <w:spacing w:after="0" w:line="240" w:lineRule="auto"/>
        <w:jc w:val="both"/>
        <w:rPr>
          <w:rFonts w:ascii="Times New Roman" w:eastAsia="Times New Roman" w:hAnsi="Times New Roman" w:cs="Times New Roman"/>
          <w:color w:val="000000"/>
          <w:sz w:val="24"/>
          <w:szCs w:val="24"/>
          <w:lang w:val="ru-RU"/>
        </w:rPr>
      </w:pPr>
    </w:p>
    <w:p w:rsidR="00844989" w:rsidRDefault="00F55F48" w:rsidP="00844989">
      <w:pPr>
        <w:spacing w:after="0" w:line="240" w:lineRule="auto"/>
        <w:rPr>
          <w:rFonts w:ascii="Times New Roman" w:eastAsia="Times New Roman" w:hAnsi="Times New Roman" w:cs="Times New Roman"/>
          <w:b/>
          <w:bCs/>
          <w:color w:val="2F2F2F"/>
          <w:sz w:val="24"/>
          <w:szCs w:val="24"/>
          <w:lang w:val="ro-MD"/>
        </w:rPr>
      </w:pPr>
      <w:r w:rsidRPr="00521AC7">
        <w:rPr>
          <w:rFonts w:ascii="Times New Roman" w:eastAsia="Times New Roman" w:hAnsi="Times New Roman" w:cs="Times New Roman"/>
          <w:b/>
          <w:color w:val="000000"/>
          <w:sz w:val="24"/>
          <w:szCs w:val="24"/>
          <w:lang w:val="ro-MD"/>
        </w:rPr>
        <w:t>1.6</w:t>
      </w:r>
      <w:r w:rsidRPr="00521AC7">
        <w:rPr>
          <w:rFonts w:ascii="Times New Roman" w:eastAsia="Times New Roman" w:hAnsi="Times New Roman" w:cs="Times New Roman"/>
          <w:color w:val="000000"/>
          <w:sz w:val="24"/>
          <w:szCs w:val="24"/>
          <w:lang w:val="ro-MD"/>
        </w:rPr>
        <w:t xml:space="preserve"> </w:t>
      </w:r>
      <w:r w:rsidR="00844989">
        <w:rPr>
          <w:rFonts w:ascii="Times New Roman" w:eastAsia="Times New Roman" w:hAnsi="Times New Roman" w:cs="Times New Roman"/>
          <w:color w:val="000000"/>
          <w:sz w:val="24"/>
          <w:szCs w:val="24"/>
          <w:lang w:val="ru-RU"/>
        </w:rPr>
        <w:t xml:space="preserve">  </w:t>
      </w:r>
      <w:r w:rsidR="00B244E7" w:rsidRPr="00521AC7">
        <w:rPr>
          <w:rFonts w:ascii="Times New Roman" w:eastAsia="Times New Roman" w:hAnsi="Times New Roman" w:cs="Times New Roman"/>
          <w:b/>
          <w:bCs/>
          <w:color w:val="2F2F2F"/>
          <w:sz w:val="24"/>
          <w:szCs w:val="24"/>
          <w:lang w:val="ro-MD"/>
        </w:rPr>
        <w:t xml:space="preserve">Общие результаты реализации </w:t>
      </w:r>
      <w:r w:rsidRPr="00521AC7">
        <w:rPr>
          <w:rFonts w:ascii="Times New Roman" w:eastAsia="Times New Roman" w:hAnsi="Times New Roman" w:cs="Times New Roman"/>
          <w:b/>
          <w:bCs/>
          <w:color w:val="2F2F2F"/>
          <w:sz w:val="24"/>
          <w:szCs w:val="24"/>
          <w:lang w:val="ru-RU"/>
        </w:rPr>
        <w:t xml:space="preserve">РОП </w:t>
      </w:r>
      <w:r w:rsidRPr="00521AC7">
        <w:rPr>
          <w:rFonts w:ascii="Times New Roman" w:eastAsia="Times New Roman" w:hAnsi="Times New Roman" w:cs="Times New Roman"/>
          <w:b/>
          <w:bCs/>
          <w:color w:val="000000"/>
          <w:sz w:val="24"/>
          <w:szCs w:val="24"/>
          <w:lang w:val="ru-RU"/>
        </w:rPr>
        <w:t>АТО Гагаузия</w:t>
      </w:r>
      <w:r w:rsidRPr="00521AC7">
        <w:rPr>
          <w:rFonts w:ascii="Times New Roman" w:eastAsia="Times New Roman" w:hAnsi="Times New Roman" w:cs="Times New Roman"/>
          <w:b/>
          <w:bCs/>
          <w:color w:val="2F2F2F"/>
          <w:sz w:val="24"/>
          <w:szCs w:val="24"/>
          <w:lang w:val="ru-RU"/>
        </w:rPr>
        <w:t xml:space="preserve"> </w:t>
      </w:r>
      <w:r w:rsidR="00B244E7" w:rsidRPr="00521AC7">
        <w:rPr>
          <w:rFonts w:ascii="Times New Roman" w:eastAsia="Times New Roman" w:hAnsi="Times New Roman" w:cs="Times New Roman"/>
          <w:b/>
          <w:bCs/>
          <w:color w:val="2F2F2F"/>
          <w:sz w:val="24"/>
          <w:szCs w:val="24"/>
          <w:lang w:val="ro-MD"/>
        </w:rPr>
        <w:t>на 2022-2025 годы.</w:t>
      </w:r>
    </w:p>
    <w:p w:rsidR="00521AC7" w:rsidRPr="00521AC7" w:rsidRDefault="00A47A44" w:rsidP="00844989">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sz w:val="24"/>
          <w:szCs w:val="24"/>
          <w:lang w:val="ru-RU"/>
        </w:rPr>
        <w:br/>
      </w:r>
      <w:r w:rsidR="00521AC7" w:rsidRPr="0042339B">
        <w:rPr>
          <w:rFonts w:ascii="Times New Roman" w:eastAsia="Arial" w:hAnsi="Times New Roman" w:cs="Times New Roman"/>
          <w:sz w:val="24"/>
          <w:szCs w:val="24"/>
          <w:lang w:val="ru-RU"/>
        </w:rPr>
        <w:t xml:space="preserve">Региональная Операционная Программа АТО Гагаузия на 2022–2024 годы (продлена на 2025 год) является главным стратегическим документом регионального развития, реализуемым Агентством Регионального Развития АТО Гагаузия в рамках Национальной стратегии регионального развития на 2022–2028 годы. Программа охватывает три стратегические задачи: повышение конкурентоспособности экономики, совершенствование региональной инфраструктуры и укрепление системы управления региональным развитием. Из 11 проектов, включённых в Единый программный документ, 8 завершены в полном объёме, 2 находятся в </w:t>
      </w:r>
      <w:r w:rsidR="00521AC7" w:rsidRPr="0042339B">
        <w:rPr>
          <w:rFonts w:ascii="Times New Roman" w:hAnsi="Times New Roman" w:cs="Times New Roman"/>
          <w:sz w:val="24"/>
          <w:szCs w:val="24"/>
          <w:lang w:val="ru-RU"/>
        </w:rPr>
        <w:t xml:space="preserve">завершающей </w:t>
      </w:r>
      <w:r w:rsidR="00521AC7" w:rsidRPr="0042339B">
        <w:rPr>
          <w:rFonts w:ascii="Times New Roman" w:eastAsia="Arial" w:hAnsi="Times New Roman" w:cs="Times New Roman"/>
          <w:sz w:val="24"/>
          <w:szCs w:val="24"/>
          <w:lang w:val="ru-RU"/>
        </w:rPr>
        <w:t>стадии реализации, 1 исключён по решению НКСРМР от 21.06.2024 в связи с отказом бенефициара. Суммарный объём средств, выделенных из Национального фонда регионального и местного развития на реализацию проектов, составил 88 719,29 тыс. леев, контрибуции органов местного публичного управления — 17 106,52 тыс. леев.</w:t>
      </w:r>
    </w:p>
    <w:p w:rsidR="00521AC7" w:rsidRPr="0042339B" w:rsidRDefault="00521AC7" w:rsidP="00844989">
      <w:pPr>
        <w:spacing w:after="0"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В сфере городского развития АРР провело более 88 рабочих встреч с местными органами власти, оказало свыше 29</w:t>
      </w:r>
      <w:r w:rsidRPr="0042339B">
        <w:rPr>
          <w:rFonts w:ascii="Times New Roman" w:hAnsi="Times New Roman" w:cs="Times New Roman"/>
          <w:sz w:val="24"/>
          <w:szCs w:val="24"/>
          <w:lang w:val="ru-RU"/>
        </w:rPr>
        <w:t>0</w:t>
      </w:r>
      <w:r w:rsidRPr="0042339B">
        <w:rPr>
          <w:rFonts w:ascii="Times New Roman" w:eastAsia="Arial" w:hAnsi="Times New Roman" w:cs="Times New Roman"/>
          <w:sz w:val="24"/>
          <w:szCs w:val="24"/>
          <w:lang w:val="ru-RU"/>
        </w:rPr>
        <w:t xml:space="preserve"> консультаций ОМПУ и более 120 консультаций Подразделению </w:t>
      </w:r>
      <w:r>
        <w:rPr>
          <w:rFonts w:ascii="Times New Roman" w:eastAsia="Arial" w:hAnsi="Times New Roman" w:cs="Times New Roman"/>
          <w:sz w:val="24"/>
          <w:szCs w:val="24"/>
          <w:lang w:val="ru-RU"/>
        </w:rPr>
        <w:t xml:space="preserve">по </w:t>
      </w:r>
      <w:r w:rsidRPr="0042339B">
        <w:rPr>
          <w:rFonts w:ascii="Times New Roman" w:eastAsia="Arial" w:hAnsi="Times New Roman" w:cs="Times New Roman"/>
          <w:sz w:val="24"/>
          <w:szCs w:val="24"/>
          <w:lang w:val="ru-RU"/>
        </w:rPr>
        <w:t>внедрени</w:t>
      </w:r>
      <w:r>
        <w:rPr>
          <w:rFonts w:ascii="Times New Roman" w:eastAsia="Arial" w:hAnsi="Times New Roman" w:cs="Times New Roman"/>
          <w:sz w:val="24"/>
          <w:szCs w:val="24"/>
          <w:lang w:val="ru-RU"/>
        </w:rPr>
        <w:t>ю</w:t>
      </w:r>
      <w:r w:rsidRPr="0042339B">
        <w:rPr>
          <w:rFonts w:ascii="Times New Roman" w:eastAsia="Arial" w:hAnsi="Times New Roman" w:cs="Times New Roman"/>
          <w:sz w:val="24"/>
          <w:szCs w:val="24"/>
          <w:lang w:val="ru-RU"/>
        </w:rPr>
        <w:t xml:space="preserve"> проектов </w:t>
      </w:r>
      <w:proofErr w:type="spellStart"/>
      <w:r w:rsidRPr="0042339B">
        <w:rPr>
          <w:rFonts w:ascii="Times New Roman" w:eastAsia="Arial" w:hAnsi="Times New Roman" w:cs="Times New Roman"/>
          <w:sz w:val="24"/>
          <w:szCs w:val="24"/>
          <w:lang w:val="ru-RU"/>
        </w:rPr>
        <w:t>мун</w:t>
      </w:r>
      <w:proofErr w:type="spellEnd"/>
      <w:r w:rsidRPr="0042339B">
        <w:rPr>
          <w:rFonts w:ascii="Times New Roman" w:eastAsia="Arial" w:hAnsi="Times New Roman" w:cs="Times New Roman"/>
          <w:sz w:val="24"/>
          <w:szCs w:val="24"/>
          <w:lang w:val="ru-RU"/>
        </w:rPr>
        <w:t xml:space="preserve">. Комрат, организовало 27 </w:t>
      </w:r>
      <w:proofErr w:type="spellStart"/>
      <w:r w:rsidRPr="0042339B">
        <w:rPr>
          <w:rFonts w:ascii="Times New Roman" w:eastAsia="Arial" w:hAnsi="Times New Roman" w:cs="Times New Roman"/>
          <w:sz w:val="24"/>
          <w:szCs w:val="24"/>
          <w:lang w:val="ru-RU"/>
        </w:rPr>
        <w:t>инфосессий</w:t>
      </w:r>
      <w:proofErr w:type="spellEnd"/>
      <w:r w:rsidRPr="0042339B">
        <w:rPr>
          <w:rFonts w:ascii="Times New Roman" w:eastAsia="Arial" w:hAnsi="Times New Roman" w:cs="Times New Roman"/>
          <w:sz w:val="24"/>
          <w:szCs w:val="24"/>
          <w:lang w:val="ru-RU"/>
        </w:rPr>
        <w:t xml:space="preserve"> и 8 тренингов. </w:t>
      </w:r>
    </w:p>
    <w:p w:rsidR="00521AC7" w:rsidRPr="0042339B" w:rsidRDefault="00521AC7" w:rsidP="00844989">
      <w:pPr>
        <w:spacing w:after="0" w:line="240" w:lineRule="auto"/>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 xml:space="preserve">В рамках программ городской </w:t>
      </w:r>
      <w:proofErr w:type="spellStart"/>
      <w:r w:rsidRPr="0042339B">
        <w:rPr>
          <w:rFonts w:ascii="Times New Roman" w:eastAsia="Arial" w:hAnsi="Times New Roman" w:cs="Times New Roman"/>
          <w:sz w:val="24"/>
          <w:szCs w:val="24"/>
          <w:lang w:val="ru-RU"/>
        </w:rPr>
        <w:t>ревитализации</w:t>
      </w:r>
      <w:proofErr w:type="spellEnd"/>
      <w:r w:rsidRPr="0042339B">
        <w:rPr>
          <w:rFonts w:ascii="Times New Roman" w:eastAsia="Arial" w:hAnsi="Times New Roman" w:cs="Times New Roman"/>
          <w:sz w:val="24"/>
          <w:szCs w:val="24"/>
          <w:lang w:val="ru-RU"/>
        </w:rPr>
        <w:t xml:space="preserve"> реализованы проекты: </w:t>
      </w:r>
    </w:p>
    <w:p w:rsidR="00521AC7" w:rsidRPr="0042339B"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lang w:val="ru-RU"/>
        </w:rPr>
      </w:pPr>
      <w:r w:rsidRPr="0042339B">
        <w:rPr>
          <w:rFonts w:ascii="Times New Roman" w:hAnsi="Times New Roman" w:cs="Times New Roman"/>
          <w:sz w:val="24"/>
          <w:szCs w:val="24"/>
          <w:lang w:val="ru-RU"/>
        </w:rPr>
        <w:t xml:space="preserve">Благоустройство парковой зоны </w:t>
      </w:r>
      <w:proofErr w:type="spellStart"/>
      <w:r w:rsidRPr="0042339B">
        <w:rPr>
          <w:rFonts w:ascii="Times New Roman" w:hAnsi="Times New Roman" w:cs="Times New Roman"/>
          <w:sz w:val="24"/>
          <w:szCs w:val="24"/>
          <w:lang w:val="ru-RU"/>
        </w:rPr>
        <w:t>мун</w:t>
      </w:r>
      <w:proofErr w:type="spellEnd"/>
      <w:r w:rsidRPr="0042339B">
        <w:rPr>
          <w:rFonts w:ascii="Times New Roman" w:hAnsi="Times New Roman" w:cs="Times New Roman"/>
          <w:sz w:val="24"/>
          <w:szCs w:val="24"/>
          <w:lang w:val="ru-RU"/>
        </w:rPr>
        <w:t>. Комрат (11</w:t>
      </w:r>
      <w:r>
        <w:rPr>
          <w:rFonts w:ascii="Times New Roman" w:hAnsi="Times New Roman" w:cs="Times New Roman"/>
          <w:sz w:val="24"/>
          <w:szCs w:val="24"/>
        </w:rPr>
        <w:t> </w:t>
      </w:r>
      <w:r w:rsidRPr="0042339B">
        <w:rPr>
          <w:rFonts w:ascii="Times New Roman" w:hAnsi="Times New Roman" w:cs="Times New Roman"/>
          <w:sz w:val="24"/>
          <w:szCs w:val="24"/>
          <w:lang w:val="ru-RU"/>
        </w:rPr>
        <w:t xml:space="preserve">067,2 тыс. леев), </w:t>
      </w:r>
    </w:p>
    <w:p w:rsidR="00521AC7" w:rsidRPr="0042339B"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lang w:val="ru-RU"/>
        </w:rPr>
      </w:pPr>
      <w:r w:rsidRPr="0042339B">
        <w:rPr>
          <w:rFonts w:ascii="Times New Roman" w:hAnsi="Times New Roman" w:cs="Times New Roman"/>
          <w:sz w:val="24"/>
          <w:szCs w:val="24"/>
          <w:lang w:val="ru-RU"/>
        </w:rPr>
        <w:t xml:space="preserve">Расширение канализационных сетей в микрорайоне «Танк» </w:t>
      </w:r>
      <w:proofErr w:type="spellStart"/>
      <w:r w:rsidRPr="0042339B">
        <w:rPr>
          <w:rFonts w:ascii="Times New Roman" w:hAnsi="Times New Roman" w:cs="Times New Roman"/>
          <w:sz w:val="24"/>
          <w:szCs w:val="24"/>
          <w:lang w:val="ru-RU"/>
        </w:rPr>
        <w:t>мун</w:t>
      </w:r>
      <w:proofErr w:type="spellEnd"/>
      <w:r w:rsidRPr="0042339B">
        <w:rPr>
          <w:rFonts w:ascii="Times New Roman" w:hAnsi="Times New Roman" w:cs="Times New Roman"/>
          <w:sz w:val="24"/>
          <w:szCs w:val="24"/>
          <w:lang w:val="ru-RU"/>
        </w:rPr>
        <w:t>. Комрат — 7,7 км самотечных и 1,2 км напорных сетей (9</w:t>
      </w:r>
      <w:r>
        <w:rPr>
          <w:rFonts w:ascii="Times New Roman" w:hAnsi="Times New Roman" w:cs="Times New Roman"/>
          <w:sz w:val="24"/>
          <w:szCs w:val="24"/>
        </w:rPr>
        <w:t> </w:t>
      </w:r>
      <w:r w:rsidRPr="0042339B">
        <w:rPr>
          <w:rFonts w:ascii="Times New Roman" w:hAnsi="Times New Roman" w:cs="Times New Roman"/>
          <w:sz w:val="24"/>
          <w:szCs w:val="24"/>
          <w:lang w:val="ru-RU"/>
        </w:rPr>
        <w:t xml:space="preserve">307,7 тыс. леев), </w:t>
      </w:r>
    </w:p>
    <w:p w:rsidR="00521AC7" w:rsidRPr="00FB727C"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rPr>
      </w:pPr>
      <w:r w:rsidRPr="0042339B">
        <w:rPr>
          <w:rFonts w:ascii="Times New Roman" w:hAnsi="Times New Roman" w:cs="Times New Roman"/>
          <w:sz w:val="24"/>
          <w:szCs w:val="24"/>
          <w:lang w:val="ru-RU"/>
        </w:rPr>
        <w:t xml:space="preserve">Строительство канализации в районе </w:t>
      </w:r>
      <w:proofErr w:type="spellStart"/>
      <w:r w:rsidRPr="0042339B">
        <w:rPr>
          <w:rFonts w:ascii="Times New Roman" w:hAnsi="Times New Roman" w:cs="Times New Roman"/>
          <w:sz w:val="24"/>
          <w:szCs w:val="24"/>
          <w:lang w:val="ru-RU"/>
        </w:rPr>
        <w:t>Заялпужье</w:t>
      </w:r>
      <w:proofErr w:type="spellEnd"/>
      <w:r w:rsidRPr="0042339B">
        <w:rPr>
          <w:rFonts w:ascii="Times New Roman" w:hAnsi="Times New Roman" w:cs="Times New Roman"/>
          <w:sz w:val="24"/>
          <w:szCs w:val="24"/>
          <w:lang w:val="ru-RU"/>
        </w:rPr>
        <w:t xml:space="preserve"> </w:t>
      </w:r>
      <w:proofErr w:type="spellStart"/>
      <w:r w:rsidRPr="0042339B">
        <w:rPr>
          <w:rFonts w:ascii="Times New Roman" w:hAnsi="Times New Roman" w:cs="Times New Roman"/>
          <w:sz w:val="24"/>
          <w:szCs w:val="24"/>
          <w:lang w:val="ru-RU"/>
        </w:rPr>
        <w:t>мун</w:t>
      </w:r>
      <w:proofErr w:type="spellEnd"/>
      <w:r w:rsidRPr="0042339B">
        <w:rPr>
          <w:rFonts w:ascii="Times New Roman" w:hAnsi="Times New Roman" w:cs="Times New Roman"/>
          <w:sz w:val="24"/>
          <w:szCs w:val="24"/>
          <w:lang w:val="ru-RU"/>
        </w:rPr>
        <w:t xml:space="preserve">. </w:t>
      </w:r>
      <w:proofErr w:type="spellStart"/>
      <w:r w:rsidRPr="00FB727C">
        <w:rPr>
          <w:rFonts w:ascii="Times New Roman" w:hAnsi="Times New Roman" w:cs="Times New Roman"/>
          <w:sz w:val="24"/>
          <w:szCs w:val="24"/>
        </w:rPr>
        <w:t>Комрат</w:t>
      </w:r>
      <w:proofErr w:type="spellEnd"/>
      <w:r w:rsidRPr="00FB727C">
        <w:rPr>
          <w:rFonts w:ascii="Times New Roman" w:hAnsi="Times New Roman" w:cs="Times New Roman"/>
          <w:sz w:val="24"/>
          <w:szCs w:val="24"/>
        </w:rPr>
        <w:t xml:space="preserve"> — 4,7 </w:t>
      </w:r>
      <w:proofErr w:type="spellStart"/>
      <w:r w:rsidRPr="00FB727C">
        <w:rPr>
          <w:rFonts w:ascii="Times New Roman" w:hAnsi="Times New Roman" w:cs="Times New Roman"/>
          <w:sz w:val="24"/>
          <w:szCs w:val="24"/>
        </w:rPr>
        <w:t>км</w:t>
      </w:r>
      <w:proofErr w:type="spellEnd"/>
      <w:r w:rsidRPr="00FB727C">
        <w:rPr>
          <w:rFonts w:ascii="Times New Roman" w:hAnsi="Times New Roman" w:cs="Times New Roman"/>
          <w:sz w:val="24"/>
          <w:szCs w:val="24"/>
        </w:rPr>
        <w:t xml:space="preserve"> (4</w:t>
      </w:r>
      <w:r>
        <w:rPr>
          <w:rFonts w:ascii="Times New Roman" w:hAnsi="Times New Roman" w:cs="Times New Roman"/>
          <w:sz w:val="24"/>
          <w:szCs w:val="24"/>
        </w:rPr>
        <w:t> </w:t>
      </w:r>
      <w:r w:rsidRPr="00FB727C">
        <w:rPr>
          <w:rFonts w:ascii="Times New Roman" w:hAnsi="Times New Roman" w:cs="Times New Roman"/>
          <w:sz w:val="24"/>
          <w:szCs w:val="24"/>
        </w:rPr>
        <w:t>695</w:t>
      </w:r>
      <w:r>
        <w:rPr>
          <w:rFonts w:ascii="Times New Roman" w:hAnsi="Times New Roman" w:cs="Times New Roman"/>
          <w:sz w:val="24"/>
          <w:szCs w:val="24"/>
        </w:rPr>
        <w:t xml:space="preserve">,3 </w:t>
      </w:r>
      <w:proofErr w:type="spellStart"/>
      <w:r>
        <w:rPr>
          <w:rFonts w:ascii="Times New Roman" w:hAnsi="Times New Roman" w:cs="Times New Roman"/>
          <w:sz w:val="24"/>
          <w:szCs w:val="24"/>
        </w:rPr>
        <w:t>тыс</w:t>
      </w:r>
      <w:proofErr w:type="spellEnd"/>
      <w:r>
        <w:rPr>
          <w:rFonts w:ascii="Times New Roman" w:hAnsi="Times New Roman" w:cs="Times New Roman"/>
          <w:sz w:val="24"/>
          <w:szCs w:val="24"/>
        </w:rPr>
        <w:t>.</w:t>
      </w:r>
      <w:r w:rsidRPr="00FB727C">
        <w:rPr>
          <w:rFonts w:ascii="Times New Roman" w:hAnsi="Times New Roman" w:cs="Times New Roman"/>
          <w:sz w:val="24"/>
          <w:szCs w:val="24"/>
        </w:rPr>
        <w:t xml:space="preserve"> </w:t>
      </w:r>
      <w:proofErr w:type="spellStart"/>
      <w:r w:rsidRPr="00FB727C">
        <w:rPr>
          <w:rFonts w:ascii="Times New Roman" w:hAnsi="Times New Roman" w:cs="Times New Roman"/>
          <w:sz w:val="24"/>
          <w:szCs w:val="24"/>
        </w:rPr>
        <w:t>ле</w:t>
      </w:r>
      <w:r>
        <w:rPr>
          <w:rFonts w:ascii="Times New Roman" w:hAnsi="Times New Roman" w:cs="Times New Roman"/>
          <w:sz w:val="24"/>
          <w:szCs w:val="24"/>
        </w:rPr>
        <w:t>ев</w:t>
      </w:r>
      <w:proofErr w:type="spellEnd"/>
      <w:r w:rsidRPr="00FB727C">
        <w:rPr>
          <w:rFonts w:ascii="Times New Roman" w:hAnsi="Times New Roman" w:cs="Times New Roman"/>
          <w:sz w:val="24"/>
          <w:szCs w:val="24"/>
        </w:rPr>
        <w:t xml:space="preserve">), </w:t>
      </w:r>
    </w:p>
    <w:p w:rsidR="00521AC7" w:rsidRPr="00FB727C"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rPr>
      </w:pPr>
      <w:r w:rsidRPr="0042339B">
        <w:rPr>
          <w:rFonts w:ascii="Times New Roman" w:hAnsi="Times New Roman" w:cs="Times New Roman"/>
          <w:sz w:val="24"/>
          <w:szCs w:val="24"/>
          <w:lang w:val="ru-RU"/>
        </w:rPr>
        <w:t xml:space="preserve">Двухэтапный проект улучшения условий проживания в зоне </w:t>
      </w:r>
      <w:proofErr w:type="spellStart"/>
      <w:r w:rsidRPr="0042339B">
        <w:rPr>
          <w:rFonts w:ascii="Times New Roman" w:hAnsi="Times New Roman" w:cs="Times New Roman"/>
          <w:sz w:val="24"/>
          <w:szCs w:val="24"/>
          <w:lang w:val="ru-RU"/>
        </w:rPr>
        <w:t>ревитализации</w:t>
      </w:r>
      <w:proofErr w:type="spellEnd"/>
      <w:r w:rsidRPr="0042339B">
        <w:rPr>
          <w:rFonts w:ascii="Times New Roman" w:hAnsi="Times New Roman" w:cs="Times New Roman"/>
          <w:sz w:val="24"/>
          <w:szCs w:val="24"/>
          <w:lang w:val="ru-RU"/>
        </w:rPr>
        <w:t xml:space="preserve"> </w:t>
      </w:r>
      <w:proofErr w:type="spellStart"/>
      <w:r w:rsidRPr="0042339B">
        <w:rPr>
          <w:rFonts w:ascii="Times New Roman" w:hAnsi="Times New Roman" w:cs="Times New Roman"/>
          <w:sz w:val="24"/>
          <w:szCs w:val="24"/>
          <w:lang w:val="ru-RU"/>
        </w:rPr>
        <w:t>мун</w:t>
      </w:r>
      <w:proofErr w:type="spellEnd"/>
      <w:r w:rsidRPr="0042339B">
        <w:rPr>
          <w:rFonts w:ascii="Times New Roman" w:hAnsi="Times New Roman" w:cs="Times New Roman"/>
          <w:sz w:val="24"/>
          <w:szCs w:val="24"/>
          <w:lang w:val="ru-RU"/>
        </w:rPr>
        <w:t xml:space="preserve">. </w:t>
      </w:r>
      <w:proofErr w:type="spellStart"/>
      <w:r w:rsidRPr="00FB727C">
        <w:rPr>
          <w:rFonts w:ascii="Times New Roman" w:hAnsi="Times New Roman" w:cs="Times New Roman"/>
          <w:sz w:val="24"/>
          <w:szCs w:val="24"/>
        </w:rPr>
        <w:t>Чадыр-Лунга</w:t>
      </w:r>
      <w:proofErr w:type="spellEnd"/>
      <w:r w:rsidRPr="00FB727C">
        <w:rPr>
          <w:rFonts w:ascii="Times New Roman" w:hAnsi="Times New Roman" w:cs="Times New Roman"/>
          <w:sz w:val="24"/>
          <w:szCs w:val="24"/>
        </w:rPr>
        <w:t xml:space="preserve"> (9</w:t>
      </w:r>
      <w:r>
        <w:rPr>
          <w:rFonts w:ascii="Times New Roman" w:hAnsi="Times New Roman" w:cs="Times New Roman"/>
          <w:sz w:val="24"/>
          <w:szCs w:val="24"/>
        </w:rPr>
        <w:t> </w:t>
      </w:r>
      <w:r w:rsidRPr="00FB727C">
        <w:rPr>
          <w:rFonts w:ascii="Times New Roman" w:hAnsi="Times New Roman" w:cs="Times New Roman"/>
          <w:sz w:val="24"/>
          <w:szCs w:val="24"/>
        </w:rPr>
        <w:t>347</w:t>
      </w:r>
      <w:r>
        <w:rPr>
          <w:rFonts w:ascii="Times New Roman" w:hAnsi="Times New Roman" w:cs="Times New Roman"/>
          <w:sz w:val="24"/>
          <w:szCs w:val="24"/>
        </w:rPr>
        <w:t xml:space="preserve">, 1 </w:t>
      </w:r>
      <w:proofErr w:type="spellStart"/>
      <w:r>
        <w:rPr>
          <w:rFonts w:ascii="Times New Roman" w:hAnsi="Times New Roman" w:cs="Times New Roman"/>
          <w:sz w:val="24"/>
          <w:szCs w:val="24"/>
        </w:rPr>
        <w:t>тыс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леев</w:t>
      </w:r>
      <w:proofErr w:type="spellEnd"/>
      <w:r w:rsidRPr="00FB727C">
        <w:rPr>
          <w:rFonts w:ascii="Times New Roman" w:hAnsi="Times New Roman" w:cs="Times New Roman"/>
          <w:sz w:val="24"/>
          <w:szCs w:val="24"/>
        </w:rPr>
        <w:t xml:space="preserve">). </w:t>
      </w:r>
    </w:p>
    <w:p w:rsidR="00521AC7" w:rsidRPr="00FB727C" w:rsidRDefault="00521AC7" w:rsidP="00844989">
      <w:pPr>
        <w:pStyle w:val="a3"/>
        <w:numPr>
          <w:ilvl w:val="0"/>
          <w:numId w:val="22"/>
        </w:numPr>
        <w:spacing w:after="0" w:line="240" w:lineRule="auto"/>
        <w:ind w:firstLine="0"/>
        <w:contextualSpacing w:val="0"/>
        <w:jc w:val="both"/>
        <w:rPr>
          <w:rFonts w:ascii="Times New Roman" w:hAnsi="Times New Roman" w:cs="Times New Roman"/>
          <w:sz w:val="24"/>
          <w:szCs w:val="24"/>
        </w:rPr>
      </w:pPr>
      <w:r w:rsidRPr="0042339B">
        <w:rPr>
          <w:rFonts w:ascii="Times New Roman" w:hAnsi="Times New Roman" w:cs="Times New Roman"/>
          <w:sz w:val="24"/>
          <w:szCs w:val="24"/>
          <w:lang w:val="ru-RU"/>
        </w:rPr>
        <w:t xml:space="preserve">Продолжается капитальный ремонт дома культуры г. Вулканешты стоимостью </w:t>
      </w:r>
      <w:r w:rsidRPr="00FB727C">
        <w:rPr>
          <w:rFonts w:ascii="Times New Roman" w:hAnsi="Times New Roman" w:cs="Times New Roman"/>
          <w:sz w:val="24"/>
          <w:szCs w:val="24"/>
        </w:rPr>
        <w:t>14</w:t>
      </w:r>
      <w:r>
        <w:rPr>
          <w:rFonts w:ascii="Times New Roman" w:hAnsi="Times New Roman" w:cs="Times New Roman"/>
          <w:sz w:val="24"/>
          <w:szCs w:val="24"/>
        </w:rPr>
        <w:t> </w:t>
      </w:r>
      <w:r w:rsidRPr="00FB727C">
        <w:rPr>
          <w:rFonts w:ascii="Times New Roman" w:hAnsi="Times New Roman" w:cs="Times New Roman"/>
          <w:sz w:val="24"/>
          <w:szCs w:val="24"/>
        </w:rPr>
        <w:t>245</w:t>
      </w:r>
      <w:r>
        <w:rPr>
          <w:rFonts w:ascii="Times New Roman" w:hAnsi="Times New Roman" w:cs="Times New Roman"/>
          <w:sz w:val="24"/>
          <w:szCs w:val="24"/>
        </w:rPr>
        <w:t xml:space="preserve">,8 </w:t>
      </w:r>
      <w:proofErr w:type="spellStart"/>
      <w:r>
        <w:rPr>
          <w:rFonts w:ascii="Times New Roman" w:hAnsi="Times New Roman" w:cs="Times New Roman"/>
          <w:sz w:val="24"/>
          <w:szCs w:val="24"/>
        </w:rPr>
        <w:t>тыс</w:t>
      </w:r>
      <w:proofErr w:type="spellEnd"/>
      <w:r>
        <w:rPr>
          <w:rFonts w:ascii="Times New Roman" w:hAnsi="Times New Roman" w:cs="Times New Roman"/>
          <w:sz w:val="24"/>
          <w:szCs w:val="24"/>
        </w:rPr>
        <w:t>.</w:t>
      </w:r>
      <w:r w:rsidRPr="00FB727C">
        <w:rPr>
          <w:rFonts w:ascii="Times New Roman" w:hAnsi="Times New Roman" w:cs="Times New Roman"/>
          <w:sz w:val="24"/>
          <w:szCs w:val="24"/>
        </w:rPr>
        <w:t xml:space="preserve"> </w:t>
      </w:r>
      <w:proofErr w:type="spellStart"/>
      <w:r w:rsidRPr="00FB727C">
        <w:rPr>
          <w:rFonts w:ascii="Times New Roman" w:hAnsi="Times New Roman" w:cs="Times New Roman"/>
          <w:sz w:val="24"/>
          <w:szCs w:val="24"/>
        </w:rPr>
        <w:t>ле</w:t>
      </w:r>
      <w:r>
        <w:rPr>
          <w:rFonts w:ascii="Times New Roman" w:hAnsi="Times New Roman" w:cs="Times New Roman"/>
          <w:sz w:val="24"/>
          <w:szCs w:val="24"/>
        </w:rPr>
        <w:t>ев</w:t>
      </w:r>
      <w:proofErr w:type="spellEnd"/>
      <w:r w:rsidRPr="00FB727C">
        <w:rPr>
          <w:rFonts w:ascii="Times New Roman" w:hAnsi="Times New Roman" w:cs="Times New Roman"/>
          <w:sz w:val="24"/>
          <w:szCs w:val="24"/>
        </w:rPr>
        <w:t xml:space="preserve">. </w:t>
      </w:r>
    </w:p>
    <w:p w:rsidR="00521AC7" w:rsidRPr="0042339B" w:rsidRDefault="00521AC7" w:rsidP="00844989">
      <w:pPr>
        <w:spacing w:after="0"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 xml:space="preserve">Обновлены и утверждены программы городской </w:t>
      </w:r>
      <w:proofErr w:type="spellStart"/>
      <w:r w:rsidRPr="0042339B">
        <w:rPr>
          <w:rFonts w:ascii="Times New Roman" w:eastAsia="Arial" w:hAnsi="Times New Roman" w:cs="Times New Roman"/>
          <w:sz w:val="24"/>
          <w:szCs w:val="24"/>
          <w:lang w:val="ru-RU"/>
        </w:rPr>
        <w:t>ревитализации</w:t>
      </w:r>
      <w:proofErr w:type="spellEnd"/>
      <w:r w:rsidRPr="0042339B">
        <w:rPr>
          <w:rFonts w:ascii="Times New Roman" w:eastAsia="Arial" w:hAnsi="Times New Roman" w:cs="Times New Roman"/>
          <w:sz w:val="24"/>
          <w:szCs w:val="24"/>
          <w:lang w:val="ru-RU"/>
        </w:rPr>
        <w:t xml:space="preserve"> </w:t>
      </w:r>
      <w:proofErr w:type="spellStart"/>
      <w:r w:rsidRPr="0042339B">
        <w:rPr>
          <w:rFonts w:ascii="Times New Roman" w:eastAsia="Arial" w:hAnsi="Times New Roman" w:cs="Times New Roman"/>
          <w:sz w:val="24"/>
          <w:szCs w:val="24"/>
          <w:lang w:val="ru-RU"/>
        </w:rPr>
        <w:t>мун</w:t>
      </w:r>
      <w:proofErr w:type="spellEnd"/>
      <w:r w:rsidRPr="0042339B">
        <w:rPr>
          <w:rFonts w:ascii="Times New Roman" w:eastAsia="Arial" w:hAnsi="Times New Roman" w:cs="Times New Roman"/>
          <w:sz w:val="24"/>
          <w:szCs w:val="24"/>
          <w:lang w:val="ru-RU"/>
        </w:rPr>
        <w:t xml:space="preserve">. Комрат, </w:t>
      </w:r>
      <w:proofErr w:type="spellStart"/>
      <w:r w:rsidRPr="0042339B">
        <w:rPr>
          <w:rFonts w:ascii="Times New Roman" w:eastAsia="Arial" w:hAnsi="Times New Roman" w:cs="Times New Roman"/>
          <w:sz w:val="24"/>
          <w:szCs w:val="24"/>
          <w:lang w:val="ru-RU"/>
        </w:rPr>
        <w:t>мун</w:t>
      </w:r>
      <w:proofErr w:type="spellEnd"/>
      <w:r w:rsidRPr="0042339B">
        <w:rPr>
          <w:rFonts w:ascii="Times New Roman" w:eastAsia="Arial" w:hAnsi="Times New Roman" w:cs="Times New Roman"/>
          <w:sz w:val="24"/>
          <w:szCs w:val="24"/>
          <w:lang w:val="ru-RU"/>
        </w:rPr>
        <w:t>. Чадыр-Лунга и г. Вулканешты, д</w:t>
      </w:r>
      <w:r>
        <w:rPr>
          <w:rFonts w:ascii="Times New Roman" w:eastAsia="Arial" w:hAnsi="Times New Roman" w:cs="Times New Roman"/>
          <w:sz w:val="24"/>
          <w:szCs w:val="24"/>
          <w:lang w:val="ru-RU"/>
        </w:rPr>
        <w:t>ва</w:t>
      </w:r>
      <w:r w:rsidRPr="0042339B">
        <w:rPr>
          <w:rFonts w:ascii="Times New Roman" w:eastAsia="Arial" w:hAnsi="Times New Roman" w:cs="Times New Roman"/>
          <w:sz w:val="24"/>
          <w:szCs w:val="24"/>
          <w:lang w:val="ru-RU"/>
        </w:rPr>
        <w:t xml:space="preserve"> последних подготов</w:t>
      </w:r>
      <w:r>
        <w:rPr>
          <w:rFonts w:ascii="Times New Roman" w:eastAsia="Arial" w:hAnsi="Times New Roman" w:cs="Times New Roman"/>
          <w:sz w:val="24"/>
          <w:szCs w:val="24"/>
          <w:lang w:val="ru-RU"/>
        </w:rPr>
        <w:t>и</w:t>
      </w:r>
      <w:r w:rsidRPr="0042339B">
        <w:rPr>
          <w:rFonts w:ascii="Times New Roman" w:eastAsia="Arial" w:hAnsi="Times New Roman" w:cs="Times New Roman"/>
          <w:sz w:val="24"/>
          <w:szCs w:val="24"/>
          <w:lang w:val="ru-RU"/>
        </w:rPr>
        <w:t>л</w:t>
      </w:r>
      <w:r>
        <w:rPr>
          <w:rFonts w:ascii="Times New Roman" w:eastAsia="Arial" w:hAnsi="Times New Roman" w:cs="Times New Roman"/>
          <w:sz w:val="24"/>
          <w:szCs w:val="24"/>
          <w:lang w:val="ru-RU"/>
        </w:rPr>
        <w:t>и</w:t>
      </w:r>
      <w:r w:rsidRPr="0042339B">
        <w:rPr>
          <w:rFonts w:ascii="Times New Roman" w:eastAsia="Arial" w:hAnsi="Times New Roman" w:cs="Times New Roman"/>
          <w:sz w:val="24"/>
          <w:szCs w:val="24"/>
          <w:lang w:val="ru-RU"/>
        </w:rPr>
        <w:t xml:space="preserve"> новые программы на 2026–2030 годы.</w:t>
      </w:r>
    </w:p>
    <w:p w:rsidR="00521AC7" w:rsidRPr="0042339B" w:rsidRDefault="00521AC7" w:rsidP="00521AC7">
      <w:pPr>
        <w:spacing w:after="0"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lastRenderedPageBreak/>
        <w:t>В области развития предпринимательства создан Образовательный центр гибридных форм обучения для сельских предпринимателей АТО Гагаузия: лекционный курс прошли 51 человек, менторский — 16, разработано 16 бизнес-планов, 6 из которых получили финансирование на общую сумму около 1,3 млн леев (бюджет проекта — 434</w:t>
      </w:r>
      <w:r w:rsidRPr="0042339B">
        <w:rPr>
          <w:rFonts w:ascii="Times New Roman" w:hAnsi="Times New Roman" w:cs="Times New Roman"/>
          <w:sz w:val="24"/>
          <w:szCs w:val="24"/>
          <w:lang w:val="ru-RU"/>
        </w:rPr>
        <w:t>,7 тыс.</w:t>
      </w:r>
      <w:r w:rsidRPr="0042339B">
        <w:rPr>
          <w:rFonts w:ascii="Times New Roman" w:eastAsia="Arial" w:hAnsi="Times New Roman" w:cs="Times New Roman"/>
          <w:sz w:val="24"/>
          <w:szCs w:val="24"/>
          <w:lang w:val="ru-RU"/>
        </w:rPr>
        <w:t xml:space="preserve"> леев). </w:t>
      </w:r>
      <w:r>
        <w:rPr>
          <w:rFonts w:ascii="Times New Roman" w:eastAsia="Arial" w:hAnsi="Times New Roman" w:cs="Times New Roman"/>
          <w:sz w:val="24"/>
          <w:szCs w:val="24"/>
          <w:lang w:val="ru-RU"/>
        </w:rPr>
        <w:t>Р</w:t>
      </w:r>
      <w:r w:rsidRPr="0042339B">
        <w:rPr>
          <w:rFonts w:ascii="Times New Roman" w:eastAsia="Arial" w:hAnsi="Times New Roman" w:cs="Times New Roman"/>
          <w:sz w:val="24"/>
          <w:szCs w:val="24"/>
          <w:lang w:val="ru-RU"/>
        </w:rPr>
        <w:t>еализ</w:t>
      </w:r>
      <w:r>
        <w:rPr>
          <w:rFonts w:ascii="Times New Roman" w:eastAsia="Arial" w:hAnsi="Times New Roman" w:cs="Times New Roman"/>
          <w:sz w:val="24"/>
          <w:szCs w:val="24"/>
          <w:lang w:val="ru-RU"/>
        </w:rPr>
        <w:t>уется</w:t>
      </w:r>
      <w:r w:rsidRPr="0042339B">
        <w:rPr>
          <w:rFonts w:ascii="Times New Roman" w:eastAsia="Arial" w:hAnsi="Times New Roman" w:cs="Times New Roman"/>
          <w:sz w:val="24"/>
          <w:szCs w:val="24"/>
          <w:lang w:val="ru-RU"/>
        </w:rPr>
        <w:t xml:space="preserve"> проект</w:t>
      </w:r>
      <w:r>
        <w:rPr>
          <w:rFonts w:ascii="Times New Roman" w:eastAsia="Arial" w:hAnsi="Times New Roman" w:cs="Times New Roman"/>
          <w:sz w:val="24"/>
          <w:szCs w:val="24"/>
          <w:lang w:val="ru-RU"/>
        </w:rPr>
        <w:t xml:space="preserve"> по</w:t>
      </w:r>
      <w:r w:rsidRPr="0042339B">
        <w:rPr>
          <w:rFonts w:ascii="Times New Roman" w:eastAsia="Arial" w:hAnsi="Times New Roman" w:cs="Times New Roman"/>
          <w:sz w:val="24"/>
          <w:szCs w:val="24"/>
          <w:lang w:val="ru-RU"/>
        </w:rPr>
        <w:t xml:space="preserve"> развити</w:t>
      </w:r>
      <w:r>
        <w:rPr>
          <w:rFonts w:ascii="Times New Roman" w:eastAsia="Arial" w:hAnsi="Times New Roman" w:cs="Times New Roman"/>
          <w:sz w:val="24"/>
          <w:szCs w:val="24"/>
          <w:lang w:val="ru-RU"/>
        </w:rPr>
        <w:t>ю пост инкубационной инфраструктуры</w:t>
      </w:r>
      <w:r w:rsidRPr="0042339B">
        <w:rPr>
          <w:rFonts w:ascii="Times New Roman" w:eastAsia="Arial" w:hAnsi="Times New Roman" w:cs="Times New Roman"/>
          <w:sz w:val="24"/>
          <w:szCs w:val="24"/>
          <w:lang w:val="ru-RU"/>
        </w:rPr>
        <w:t xml:space="preserve"> бизнес-инкубатора в Чадыр-Лунге: освоено 20</w:t>
      </w:r>
      <w:r>
        <w:rPr>
          <w:rFonts w:ascii="Times New Roman" w:hAnsi="Times New Roman" w:cs="Times New Roman"/>
          <w:sz w:val="24"/>
          <w:szCs w:val="24"/>
        </w:rPr>
        <w:t> </w:t>
      </w:r>
      <w:r w:rsidRPr="0042339B">
        <w:rPr>
          <w:rFonts w:ascii="Times New Roman" w:eastAsia="Arial" w:hAnsi="Times New Roman" w:cs="Times New Roman"/>
          <w:sz w:val="24"/>
          <w:szCs w:val="24"/>
          <w:lang w:val="ru-RU"/>
        </w:rPr>
        <w:t>955</w:t>
      </w:r>
      <w:r w:rsidRPr="0042339B">
        <w:rPr>
          <w:rFonts w:ascii="Times New Roman" w:hAnsi="Times New Roman" w:cs="Times New Roman"/>
          <w:sz w:val="24"/>
          <w:szCs w:val="24"/>
          <w:lang w:val="ru-RU"/>
        </w:rPr>
        <w:t>,7 тыс.</w:t>
      </w:r>
      <w:r w:rsidRPr="0042339B">
        <w:rPr>
          <w:rFonts w:ascii="Times New Roman" w:eastAsia="Arial" w:hAnsi="Times New Roman" w:cs="Times New Roman"/>
          <w:sz w:val="24"/>
          <w:szCs w:val="24"/>
          <w:lang w:val="ru-RU"/>
        </w:rPr>
        <w:t xml:space="preserve"> леев из общей стоимости 34 812 тыс. леев. </w:t>
      </w:r>
    </w:p>
    <w:p w:rsidR="00521AC7" w:rsidRPr="0042339B" w:rsidRDefault="00521AC7" w:rsidP="00521AC7">
      <w:pPr>
        <w:spacing w:after="0" w:line="240" w:lineRule="auto"/>
        <w:ind w:firstLine="709"/>
        <w:jc w:val="both"/>
        <w:rPr>
          <w:rFonts w:ascii="Times New Roman" w:hAnsi="Times New Roman" w:cs="Times New Roman"/>
          <w:sz w:val="24"/>
          <w:szCs w:val="24"/>
          <w:lang w:val="ru-RU"/>
        </w:rPr>
      </w:pPr>
      <w:r w:rsidRPr="00B8584E">
        <w:rPr>
          <w:rFonts w:ascii="Times New Roman" w:eastAsia="Arial" w:hAnsi="Times New Roman" w:cs="Times New Roman"/>
          <w:sz w:val="24"/>
          <w:szCs w:val="24"/>
          <w:lang w:val="ru-RU"/>
        </w:rPr>
        <w:t>В сфере коммунальной инфраструктуры централизованным водоснабжением обеспечены все 26 населённых пунктов региона (100%), тогда как в целом по Республике Молдова этот показатель составляет лишь 65,6%.</w:t>
      </w:r>
      <w:r>
        <w:rPr>
          <w:rFonts w:ascii="Times New Roman" w:eastAsia="Arial" w:hAnsi="Times New Roman" w:cs="Times New Roman"/>
          <w:sz w:val="24"/>
          <w:szCs w:val="24"/>
          <w:lang w:val="ru-RU"/>
        </w:rPr>
        <w:t xml:space="preserve"> </w:t>
      </w:r>
      <w:r w:rsidRPr="002B6A2A">
        <w:rPr>
          <w:rFonts w:ascii="Times New Roman" w:eastAsia="Arial" w:hAnsi="Times New Roman" w:cs="Times New Roman"/>
          <w:sz w:val="24"/>
          <w:szCs w:val="24"/>
          <w:lang w:val="ru-RU"/>
        </w:rPr>
        <w:t>К водопроводу подключены 42,5 тыс. из 51,3 тыс. домовладений. Охват централизованной канализацией существенно ниже: она имеется лишь в 10 из 26 населённых пунктов (38,5%), подключено 11,2 тыс. домовладений (21,8% жилфонда).</w:t>
      </w:r>
      <w:r>
        <w:rPr>
          <w:rFonts w:ascii="Times New Roman" w:eastAsia="Arial" w:hAnsi="Times New Roman" w:cs="Times New Roman"/>
          <w:sz w:val="24"/>
          <w:szCs w:val="24"/>
          <w:lang w:val="ru-RU"/>
        </w:rPr>
        <w:t xml:space="preserve"> </w:t>
      </w:r>
      <w:r w:rsidRPr="00E80CC8">
        <w:rPr>
          <w:rFonts w:ascii="Times New Roman" w:eastAsia="Arial" w:hAnsi="Times New Roman" w:cs="Times New Roman"/>
          <w:sz w:val="24"/>
          <w:szCs w:val="24"/>
          <w:lang w:val="ru-RU"/>
        </w:rPr>
        <w:t>Для исправления ситуации</w:t>
      </w:r>
      <w:r w:rsidRPr="0042339B">
        <w:rPr>
          <w:rFonts w:ascii="Times New Roman" w:eastAsia="Arial" w:hAnsi="Times New Roman" w:cs="Times New Roman"/>
          <w:sz w:val="24"/>
          <w:szCs w:val="24"/>
          <w:lang w:val="ru-RU"/>
        </w:rPr>
        <w:t xml:space="preserve"> </w:t>
      </w:r>
      <w:r>
        <w:rPr>
          <w:rFonts w:ascii="Times New Roman" w:eastAsia="Arial" w:hAnsi="Times New Roman" w:cs="Times New Roman"/>
          <w:sz w:val="24"/>
          <w:szCs w:val="24"/>
          <w:lang w:val="ru-RU"/>
        </w:rPr>
        <w:t xml:space="preserve">Агентством Регионального Развития АТО Гагаузия была </w:t>
      </w:r>
      <w:r w:rsidRPr="0042339B">
        <w:rPr>
          <w:rFonts w:ascii="Times New Roman" w:eastAsia="Arial" w:hAnsi="Times New Roman" w:cs="Times New Roman"/>
          <w:sz w:val="24"/>
          <w:szCs w:val="24"/>
          <w:lang w:val="ru-RU"/>
        </w:rPr>
        <w:t xml:space="preserve">завершена проектная документация по строительству очистных сооружений в </w:t>
      </w:r>
      <w:proofErr w:type="spellStart"/>
      <w:r w:rsidRPr="0042339B">
        <w:rPr>
          <w:rFonts w:ascii="Times New Roman" w:eastAsia="Arial" w:hAnsi="Times New Roman" w:cs="Times New Roman"/>
          <w:sz w:val="24"/>
          <w:szCs w:val="24"/>
          <w:lang w:val="ru-RU"/>
        </w:rPr>
        <w:t>мун</w:t>
      </w:r>
      <w:proofErr w:type="spellEnd"/>
      <w:r w:rsidRPr="0042339B">
        <w:rPr>
          <w:rFonts w:ascii="Times New Roman" w:eastAsia="Arial" w:hAnsi="Times New Roman" w:cs="Times New Roman"/>
          <w:sz w:val="24"/>
          <w:szCs w:val="24"/>
          <w:lang w:val="ru-RU"/>
        </w:rPr>
        <w:t xml:space="preserve">. Чадыр-Лунга (стоимость проектирования — 1 106,58 тыс. леев). В декабре 2024 года подписан контракт на реализацию </w:t>
      </w:r>
      <w:proofErr w:type="spellStart"/>
      <w:r w:rsidRPr="0042339B">
        <w:rPr>
          <w:rFonts w:ascii="Times New Roman" w:eastAsia="Arial" w:hAnsi="Times New Roman" w:cs="Times New Roman"/>
          <w:sz w:val="24"/>
          <w:szCs w:val="24"/>
          <w:lang w:val="ru-RU"/>
        </w:rPr>
        <w:t>подпроекта</w:t>
      </w:r>
      <w:proofErr w:type="spellEnd"/>
      <w:r w:rsidRPr="0042339B">
        <w:rPr>
          <w:rFonts w:ascii="Times New Roman" w:eastAsia="Arial" w:hAnsi="Times New Roman" w:cs="Times New Roman"/>
          <w:sz w:val="24"/>
          <w:szCs w:val="24"/>
          <w:lang w:val="ru-RU"/>
        </w:rPr>
        <w:t xml:space="preserve"> «Расширение и улучшение услуг водоснабжения в г. Вулканешты» в рамках проекта Всемирного банка «Безопасность водоснабжения и санитарии в Молдове» (</w:t>
      </w:r>
      <w:r w:rsidRPr="00C547AB">
        <w:rPr>
          <w:rFonts w:ascii="Times New Roman" w:eastAsia="Arial" w:hAnsi="Times New Roman" w:cs="Times New Roman"/>
          <w:sz w:val="24"/>
          <w:szCs w:val="24"/>
        </w:rPr>
        <w:t>SAASM</w:t>
      </w:r>
      <w:r w:rsidRPr="0042339B">
        <w:rPr>
          <w:rFonts w:ascii="Times New Roman" w:eastAsia="Arial" w:hAnsi="Times New Roman" w:cs="Times New Roman"/>
          <w:sz w:val="24"/>
          <w:szCs w:val="24"/>
          <w:lang w:val="ru-RU"/>
        </w:rPr>
        <w:t>) с общим объёмом инвестиций около 12 млн евро —ведутся</w:t>
      </w:r>
      <w:r w:rsidRPr="00B4559B">
        <w:rPr>
          <w:rFonts w:ascii="Times New Roman" w:eastAsia="Arial" w:hAnsi="Times New Roman" w:cs="Times New Roman"/>
          <w:sz w:val="24"/>
          <w:szCs w:val="24"/>
          <w:lang w:val="ru-RU"/>
        </w:rPr>
        <w:t xml:space="preserve"> </w:t>
      </w:r>
      <w:r w:rsidRPr="0042339B">
        <w:rPr>
          <w:rFonts w:ascii="Times New Roman" w:eastAsia="Arial" w:hAnsi="Times New Roman" w:cs="Times New Roman"/>
          <w:sz w:val="24"/>
          <w:szCs w:val="24"/>
          <w:lang w:val="ru-RU"/>
        </w:rPr>
        <w:t>работы</w:t>
      </w:r>
      <w:r>
        <w:rPr>
          <w:rFonts w:ascii="Times New Roman" w:eastAsia="Arial" w:hAnsi="Times New Roman" w:cs="Times New Roman"/>
          <w:sz w:val="24"/>
          <w:szCs w:val="24"/>
          <w:lang w:val="ru-RU"/>
        </w:rPr>
        <w:t xml:space="preserve"> на участке по строительству водовода по подаче питьевой воды из реки Прут в город Вулканешты.</w:t>
      </w:r>
    </w:p>
    <w:p w:rsidR="00521AC7" w:rsidRDefault="00521AC7" w:rsidP="00521AC7">
      <w:pPr>
        <w:spacing w:after="0" w:line="240" w:lineRule="auto"/>
        <w:ind w:firstLine="709"/>
        <w:jc w:val="both"/>
        <w:rPr>
          <w:rFonts w:ascii="Times New Roman" w:eastAsia="Arial" w:hAnsi="Times New Roman" w:cs="Times New Roman"/>
          <w:sz w:val="24"/>
          <w:szCs w:val="24"/>
          <w:lang w:val="ru-RU"/>
        </w:rPr>
      </w:pPr>
      <w:r w:rsidRPr="0042339B">
        <w:rPr>
          <w:rFonts w:ascii="Times New Roman" w:eastAsia="Arial" w:hAnsi="Times New Roman" w:cs="Times New Roman"/>
          <w:sz w:val="24"/>
          <w:szCs w:val="24"/>
          <w:lang w:val="ru-RU"/>
        </w:rPr>
        <w:t xml:space="preserve">В части управления региональным развитием Региональный Совет Развития (РСР) провёл 11 заседаний, принял 39 решений, средний уровень участия членов составил 66,5%. Специалисты АРР приняли участие в 185 обучающих мероприятиях, совершили 15 поездок по обмену опытом на национальном и международном уровнях. Подготовлено 17 мониторинговых отчётов по проектам. </w:t>
      </w:r>
    </w:p>
    <w:p w:rsidR="00521AC7" w:rsidRPr="0042339B" w:rsidRDefault="00521AC7" w:rsidP="00521AC7">
      <w:pPr>
        <w:spacing w:after="0" w:line="240" w:lineRule="auto"/>
        <w:ind w:firstLine="709"/>
        <w:jc w:val="both"/>
        <w:rPr>
          <w:rFonts w:ascii="Times New Roman" w:hAnsi="Times New Roman" w:cs="Times New Roman"/>
          <w:sz w:val="24"/>
          <w:szCs w:val="24"/>
          <w:lang w:val="ru-RU"/>
        </w:rPr>
      </w:pPr>
      <w:r w:rsidRPr="00B4559B">
        <w:rPr>
          <w:rFonts w:ascii="Times New Roman" w:eastAsia="Arial" w:hAnsi="Times New Roman" w:cs="Times New Roman"/>
          <w:sz w:val="24"/>
          <w:szCs w:val="24"/>
          <w:lang w:val="ru-RU"/>
        </w:rPr>
        <w:t xml:space="preserve">В 2024 году был объявлен новый конкурс региональных проектов для включения в ЕПД 2025-2027. </w:t>
      </w:r>
      <w:r>
        <w:rPr>
          <w:rFonts w:ascii="Times New Roman" w:eastAsia="Arial" w:hAnsi="Times New Roman" w:cs="Times New Roman"/>
          <w:sz w:val="24"/>
          <w:szCs w:val="24"/>
          <w:lang w:val="ru-RU"/>
        </w:rPr>
        <w:t>В рамках</w:t>
      </w:r>
      <w:r w:rsidRPr="00B4559B">
        <w:rPr>
          <w:rFonts w:ascii="Times New Roman" w:eastAsia="Arial" w:hAnsi="Times New Roman" w:cs="Times New Roman"/>
          <w:sz w:val="24"/>
          <w:szCs w:val="24"/>
          <w:lang w:val="ru-RU"/>
        </w:rPr>
        <w:t xml:space="preserve"> конкурса проектов для финансирования из НФРМР из региона </w:t>
      </w:r>
      <w:r>
        <w:rPr>
          <w:rFonts w:ascii="Times New Roman" w:eastAsia="Arial" w:hAnsi="Times New Roman" w:cs="Times New Roman"/>
          <w:sz w:val="24"/>
          <w:szCs w:val="24"/>
          <w:lang w:val="ru-RU"/>
        </w:rPr>
        <w:t xml:space="preserve">Гагаузия </w:t>
      </w:r>
      <w:r w:rsidRPr="00B4559B">
        <w:rPr>
          <w:rFonts w:ascii="Times New Roman" w:eastAsia="Arial" w:hAnsi="Times New Roman" w:cs="Times New Roman"/>
          <w:sz w:val="24"/>
          <w:szCs w:val="24"/>
          <w:lang w:val="ru-RU"/>
        </w:rPr>
        <w:t xml:space="preserve">было инициировано 16 концептуальных заявок, 6 из </w:t>
      </w:r>
      <w:r>
        <w:rPr>
          <w:rFonts w:ascii="Times New Roman" w:eastAsia="Arial" w:hAnsi="Times New Roman" w:cs="Times New Roman"/>
          <w:sz w:val="24"/>
          <w:szCs w:val="24"/>
          <w:lang w:val="ru-RU"/>
        </w:rPr>
        <w:t>которых</w:t>
      </w:r>
      <w:r w:rsidRPr="00B4559B">
        <w:rPr>
          <w:rFonts w:ascii="Times New Roman" w:eastAsia="Arial" w:hAnsi="Times New Roman" w:cs="Times New Roman"/>
          <w:sz w:val="24"/>
          <w:szCs w:val="24"/>
          <w:lang w:val="ru-RU"/>
        </w:rPr>
        <w:t xml:space="preserve"> одобрены и включены в Единый программный документ 2025</w:t>
      </w:r>
      <w:r w:rsidRPr="0042339B">
        <w:rPr>
          <w:rFonts w:ascii="Times New Roman" w:eastAsia="Arial" w:hAnsi="Times New Roman" w:cs="Times New Roman"/>
          <w:sz w:val="24"/>
          <w:szCs w:val="24"/>
          <w:lang w:val="ru-RU"/>
        </w:rPr>
        <w:t xml:space="preserve">–2027 гг. (решение </w:t>
      </w:r>
      <w:r w:rsidRPr="00C547AB">
        <w:rPr>
          <w:rFonts w:ascii="Times New Roman" w:eastAsia="Arial" w:hAnsi="Times New Roman" w:cs="Times New Roman"/>
          <w:sz w:val="24"/>
          <w:szCs w:val="24"/>
        </w:rPr>
        <w:t>CNCDRL</w:t>
      </w:r>
      <w:r w:rsidRPr="0042339B">
        <w:rPr>
          <w:rFonts w:ascii="Times New Roman" w:eastAsia="Arial" w:hAnsi="Times New Roman" w:cs="Times New Roman"/>
          <w:sz w:val="24"/>
          <w:szCs w:val="24"/>
          <w:lang w:val="ru-RU"/>
        </w:rPr>
        <w:t xml:space="preserve"> №65 от 26.09.2025). В 2025 году подано </w:t>
      </w:r>
      <w:r>
        <w:rPr>
          <w:rFonts w:ascii="Times New Roman" w:eastAsia="Arial" w:hAnsi="Times New Roman" w:cs="Times New Roman"/>
          <w:sz w:val="24"/>
          <w:szCs w:val="24"/>
          <w:lang w:val="ru-RU"/>
        </w:rPr>
        <w:t xml:space="preserve">дополнительно </w:t>
      </w:r>
      <w:r w:rsidRPr="0042339B">
        <w:rPr>
          <w:rFonts w:ascii="Times New Roman" w:eastAsia="Arial" w:hAnsi="Times New Roman" w:cs="Times New Roman"/>
          <w:sz w:val="24"/>
          <w:szCs w:val="24"/>
          <w:lang w:val="ru-RU"/>
        </w:rPr>
        <w:t>ещё 5 концептуальных за</w:t>
      </w:r>
      <w:r>
        <w:rPr>
          <w:rFonts w:ascii="Times New Roman" w:eastAsia="Arial" w:hAnsi="Times New Roman" w:cs="Times New Roman"/>
          <w:sz w:val="24"/>
          <w:szCs w:val="24"/>
          <w:lang w:val="ru-RU"/>
        </w:rPr>
        <w:t>яв</w:t>
      </w:r>
      <w:r w:rsidRPr="0042339B">
        <w:rPr>
          <w:rFonts w:ascii="Times New Roman" w:eastAsia="Arial" w:hAnsi="Times New Roman" w:cs="Times New Roman"/>
          <w:sz w:val="24"/>
          <w:szCs w:val="24"/>
          <w:lang w:val="ru-RU"/>
        </w:rPr>
        <w:t>ок в рамках двух конкурсов</w:t>
      </w:r>
      <w:r>
        <w:rPr>
          <w:rFonts w:ascii="Times New Roman" w:eastAsia="Arial" w:hAnsi="Times New Roman" w:cs="Times New Roman"/>
          <w:sz w:val="24"/>
          <w:szCs w:val="24"/>
          <w:lang w:val="ru-RU"/>
        </w:rPr>
        <w:t>, также утверждённые к финансированию из НФРМР</w:t>
      </w:r>
      <w:r w:rsidRPr="0042339B">
        <w:rPr>
          <w:rFonts w:ascii="Times New Roman" w:eastAsia="Arial" w:hAnsi="Times New Roman" w:cs="Times New Roman"/>
          <w:sz w:val="24"/>
          <w:szCs w:val="24"/>
          <w:lang w:val="ru-RU"/>
        </w:rPr>
        <w:t>.</w:t>
      </w:r>
    </w:p>
    <w:p w:rsidR="00521AC7" w:rsidRPr="0042339B" w:rsidRDefault="00521AC7" w:rsidP="00521AC7">
      <w:pPr>
        <w:spacing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 xml:space="preserve">Сотрудничество с партнёрами по развитию обеспечило </w:t>
      </w:r>
      <w:r>
        <w:rPr>
          <w:rFonts w:ascii="Times New Roman" w:eastAsia="Arial" w:hAnsi="Times New Roman" w:cs="Times New Roman"/>
          <w:sz w:val="24"/>
          <w:szCs w:val="24"/>
          <w:lang w:val="ru-RU"/>
        </w:rPr>
        <w:t>существенн</w:t>
      </w:r>
      <w:r w:rsidRPr="0042339B">
        <w:rPr>
          <w:rFonts w:ascii="Times New Roman" w:eastAsia="Arial" w:hAnsi="Times New Roman" w:cs="Times New Roman"/>
          <w:sz w:val="24"/>
          <w:szCs w:val="24"/>
          <w:lang w:val="ru-RU"/>
        </w:rPr>
        <w:t xml:space="preserve">ый дополнительный вклад в реализацию </w:t>
      </w:r>
      <w:r>
        <w:rPr>
          <w:rFonts w:ascii="Times New Roman" w:eastAsia="Arial" w:hAnsi="Times New Roman" w:cs="Times New Roman"/>
          <w:sz w:val="24"/>
          <w:szCs w:val="24"/>
          <w:lang w:val="ru-RU"/>
        </w:rPr>
        <w:t>РОП</w:t>
      </w:r>
      <w:r w:rsidRPr="0042339B">
        <w:rPr>
          <w:rFonts w:ascii="Times New Roman" w:eastAsia="Arial" w:hAnsi="Times New Roman" w:cs="Times New Roman"/>
          <w:sz w:val="24"/>
          <w:szCs w:val="24"/>
          <w:lang w:val="ru-RU"/>
        </w:rPr>
        <w:t xml:space="preserve">. </w:t>
      </w:r>
      <w:r>
        <w:rPr>
          <w:rFonts w:ascii="Times New Roman" w:eastAsia="Arial" w:hAnsi="Times New Roman" w:cs="Times New Roman"/>
          <w:sz w:val="24"/>
          <w:szCs w:val="24"/>
          <w:lang w:val="ru-RU"/>
        </w:rPr>
        <w:t xml:space="preserve">Германское Агентство </w:t>
      </w:r>
      <w:r w:rsidRPr="00C547AB">
        <w:rPr>
          <w:rFonts w:ascii="Times New Roman" w:eastAsia="Arial" w:hAnsi="Times New Roman" w:cs="Times New Roman"/>
          <w:sz w:val="24"/>
          <w:szCs w:val="24"/>
        </w:rPr>
        <w:t>GIZ</w:t>
      </w:r>
      <w:r w:rsidRPr="0042339B">
        <w:rPr>
          <w:rFonts w:ascii="Times New Roman" w:eastAsia="Arial" w:hAnsi="Times New Roman" w:cs="Times New Roman"/>
          <w:sz w:val="24"/>
          <w:szCs w:val="24"/>
          <w:lang w:val="ru-RU"/>
        </w:rPr>
        <w:t xml:space="preserve"> в рамках проекта «Крепкие предприятия и сообщества для Молдовы» (</w:t>
      </w:r>
      <w:r w:rsidRPr="00C547AB">
        <w:rPr>
          <w:rFonts w:ascii="Times New Roman" w:eastAsia="Arial" w:hAnsi="Times New Roman" w:cs="Times New Roman"/>
          <w:sz w:val="24"/>
          <w:szCs w:val="24"/>
        </w:rPr>
        <w:t>SBC</w:t>
      </w:r>
      <w:r w:rsidRPr="0042339B">
        <w:rPr>
          <w:rFonts w:ascii="Times New Roman" w:eastAsia="Arial" w:hAnsi="Times New Roman" w:cs="Times New Roman"/>
          <w:sz w:val="24"/>
          <w:szCs w:val="24"/>
          <w:lang w:val="ru-RU"/>
        </w:rPr>
        <w:t>) предоставил</w:t>
      </w:r>
      <w:r>
        <w:rPr>
          <w:rFonts w:ascii="Times New Roman" w:eastAsia="Arial" w:hAnsi="Times New Roman" w:cs="Times New Roman"/>
          <w:sz w:val="24"/>
          <w:szCs w:val="24"/>
          <w:lang w:val="ru-RU"/>
        </w:rPr>
        <w:t>о</w:t>
      </w:r>
      <w:r w:rsidRPr="0042339B">
        <w:rPr>
          <w:rFonts w:ascii="Times New Roman" w:eastAsia="Arial" w:hAnsi="Times New Roman" w:cs="Times New Roman"/>
          <w:sz w:val="24"/>
          <w:szCs w:val="24"/>
          <w:lang w:val="ru-RU"/>
        </w:rPr>
        <w:t xml:space="preserve"> </w:t>
      </w:r>
      <w:r>
        <w:rPr>
          <w:rFonts w:ascii="Times New Roman" w:eastAsia="Arial" w:hAnsi="Times New Roman" w:cs="Times New Roman"/>
          <w:sz w:val="24"/>
          <w:szCs w:val="24"/>
          <w:lang w:val="ru-RU"/>
        </w:rPr>
        <w:t>финансирование</w:t>
      </w:r>
      <w:r w:rsidRPr="0042339B">
        <w:rPr>
          <w:rFonts w:ascii="Times New Roman" w:eastAsia="Arial" w:hAnsi="Times New Roman" w:cs="Times New Roman"/>
          <w:sz w:val="24"/>
          <w:szCs w:val="24"/>
          <w:lang w:val="ru-RU"/>
        </w:rPr>
        <w:t xml:space="preserve"> на 100 000 евро. В </w:t>
      </w:r>
      <w:r>
        <w:rPr>
          <w:rFonts w:ascii="Times New Roman" w:eastAsia="Arial" w:hAnsi="Times New Roman" w:cs="Times New Roman"/>
          <w:sz w:val="24"/>
          <w:szCs w:val="24"/>
          <w:lang w:val="ru-RU"/>
        </w:rPr>
        <w:t xml:space="preserve">результате, в </w:t>
      </w:r>
      <w:r w:rsidRPr="0042339B">
        <w:rPr>
          <w:rFonts w:ascii="Times New Roman" w:eastAsia="Arial" w:hAnsi="Times New Roman" w:cs="Times New Roman"/>
          <w:sz w:val="24"/>
          <w:szCs w:val="24"/>
          <w:lang w:val="ru-RU"/>
        </w:rPr>
        <w:t xml:space="preserve">2022 году </w:t>
      </w:r>
      <w:r>
        <w:rPr>
          <w:rFonts w:ascii="Times New Roman" w:eastAsia="Arial" w:hAnsi="Times New Roman" w:cs="Times New Roman"/>
          <w:sz w:val="24"/>
          <w:szCs w:val="24"/>
          <w:lang w:val="ru-RU"/>
        </w:rPr>
        <w:t>был</w:t>
      </w:r>
      <w:r w:rsidRPr="0042339B">
        <w:rPr>
          <w:rFonts w:ascii="Times New Roman" w:eastAsia="Arial" w:hAnsi="Times New Roman" w:cs="Times New Roman"/>
          <w:sz w:val="24"/>
          <w:szCs w:val="24"/>
          <w:lang w:val="ru-RU"/>
        </w:rPr>
        <w:t xml:space="preserve"> реализован проект по адаптации региона к</w:t>
      </w:r>
      <w:r>
        <w:rPr>
          <w:rFonts w:ascii="Times New Roman" w:eastAsia="Arial" w:hAnsi="Times New Roman" w:cs="Times New Roman"/>
          <w:sz w:val="24"/>
          <w:szCs w:val="24"/>
          <w:lang w:val="ru-RU"/>
        </w:rPr>
        <w:t xml:space="preserve"> чрезвычайным ситуациям и сглаживанию последствий</w:t>
      </w:r>
      <w:r w:rsidRPr="0042339B">
        <w:rPr>
          <w:rFonts w:ascii="Times New Roman" w:eastAsia="Arial" w:hAnsi="Times New Roman" w:cs="Times New Roman"/>
          <w:sz w:val="24"/>
          <w:szCs w:val="24"/>
          <w:lang w:val="ru-RU"/>
        </w:rPr>
        <w:t xml:space="preserve"> кризис</w:t>
      </w:r>
      <w:r>
        <w:rPr>
          <w:rFonts w:ascii="Times New Roman" w:eastAsia="Arial" w:hAnsi="Times New Roman" w:cs="Times New Roman"/>
          <w:sz w:val="24"/>
          <w:szCs w:val="24"/>
          <w:lang w:val="ru-RU"/>
        </w:rPr>
        <w:t>а</w:t>
      </w:r>
      <w:r w:rsidRPr="0042339B">
        <w:rPr>
          <w:rFonts w:ascii="Times New Roman" w:eastAsia="Arial" w:hAnsi="Times New Roman" w:cs="Times New Roman"/>
          <w:sz w:val="24"/>
          <w:szCs w:val="24"/>
          <w:lang w:val="ru-RU"/>
        </w:rPr>
        <w:t xml:space="preserve"> беженцев: улучшены условия размещения в 5 пунктах</w:t>
      </w:r>
      <w:r w:rsidRPr="0042339B">
        <w:rPr>
          <w:rFonts w:ascii="Times New Roman" w:hAnsi="Times New Roman" w:cs="Times New Roman"/>
          <w:sz w:val="24"/>
          <w:szCs w:val="24"/>
          <w:lang w:val="ru-RU"/>
        </w:rPr>
        <w:t xml:space="preserve"> </w:t>
      </w:r>
      <w:r>
        <w:rPr>
          <w:rFonts w:ascii="Times New Roman" w:hAnsi="Times New Roman" w:cs="Times New Roman"/>
          <w:sz w:val="24"/>
          <w:szCs w:val="24"/>
          <w:lang w:val="ru-RU"/>
        </w:rPr>
        <w:t>размещения беженцев из Украины,</w:t>
      </w:r>
      <w:r w:rsidRPr="0042339B">
        <w:rPr>
          <w:rFonts w:ascii="Times New Roman" w:hAnsi="Times New Roman" w:cs="Times New Roman"/>
          <w:sz w:val="24"/>
          <w:szCs w:val="24"/>
          <w:lang w:val="ru-RU"/>
        </w:rPr>
        <w:t xml:space="preserve"> оборудованы 44 пункта материально-технического обеспечения в системе управления чрезвычайными ситуациями в регионе.</w:t>
      </w:r>
      <w:r>
        <w:rPr>
          <w:rFonts w:ascii="Times New Roman" w:hAnsi="Times New Roman" w:cs="Times New Roman"/>
          <w:sz w:val="24"/>
          <w:szCs w:val="24"/>
          <w:lang w:val="ru-RU"/>
        </w:rPr>
        <w:t xml:space="preserve"> </w:t>
      </w:r>
      <w:r w:rsidRPr="0042339B">
        <w:rPr>
          <w:rFonts w:ascii="Times New Roman" w:eastAsia="Arial" w:hAnsi="Times New Roman" w:cs="Times New Roman"/>
          <w:sz w:val="24"/>
          <w:szCs w:val="24"/>
          <w:lang w:val="ru-RU"/>
        </w:rPr>
        <w:t xml:space="preserve">Польский Фонд Солидарности направил 2 185 000 леев и 22 000 евро на наращивание потенциала городских администраций и институционализацию ПВП в Комрате. В рамках программы </w:t>
      </w:r>
      <w:r w:rsidRPr="00C547AB">
        <w:rPr>
          <w:rFonts w:ascii="Times New Roman" w:eastAsia="Arial" w:hAnsi="Times New Roman" w:cs="Times New Roman"/>
          <w:sz w:val="24"/>
          <w:szCs w:val="24"/>
        </w:rPr>
        <w:t>IMPACT</w:t>
      </w:r>
      <w:r w:rsidRPr="0042339B">
        <w:rPr>
          <w:rFonts w:ascii="Times New Roman" w:eastAsia="Arial" w:hAnsi="Times New Roman" w:cs="Times New Roman"/>
          <w:sz w:val="24"/>
          <w:szCs w:val="24"/>
          <w:lang w:val="ru-RU"/>
        </w:rPr>
        <w:t xml:space="preserve"> Гагаузия (Эстонский центр международного развития </w:t>
      </w:r>
      <w:r w:rsidRPr="00C547AB">
        <w:rPr>
          <w:rFonts w:ascii="Times New Roman" w:eastAsia="Arial" w:hAnsi="Times New Roman" w:cs="Times New Roman"/>
          <w:sz w:val="24"/>
          <w:szCs w:val="24"/>
        </w:rPr>
        <w:t>ESTDEV</w:t>
      </w:r>
      <w:r w:rsidRPr="0042339B">
        <w:rPr>
          <w:rFonts w:ascii="Times New Roman" w:eastAsia="Arial" w:hAnsi="Times New Roman" w:cs="Times New Roman"/>
          <w:sz w:val="24"/>
          <w:szCs w:val="24"/>
          <w:lang w:val="ru-RU"/>
        </w:rPr>
        <w:t xml:space="preserve"> совместно с </w:t>
      </w:r>
      <w:proofErr w:type="spellStart"/>
      <w:r w:rsidRPr="00C547AB">
        <w:rPr>
          <w:rFonts w:ascii="Times New Roman" w:eastAsia="Arial" w:hAnsi="Times New Roman" w:cs="Times New Roman"/>
          <w:sz w:val="24"/>
          <w:szCs w:val="24"/>
        </w:rPr>
        <w:t>Civitta</w:t>
      </w:r>
      <w:proofErr w:type="spellEnd"/>
      <w:r w:rsidRPr="0042339B">
        <w:rPr>
          <w:rFonts w:ascii="Times New Roman" w:eastAsia="Arial" w:hAnsi="Times New Roman" w:cs="Times New Roman"/>
          <w:sz w:val="24"/>
          <w:szCs w:val="24"/>
          <w:lang w:val="ru-RU"/>
        </w:rPr>
        <w:t>) проведено 7 обучающих мероприятий с участием 140 человек, разработано 11 концеп</w:t>
      </w:r>
      <w:r>
        <w:rPr>
          <w:rFonts w:ascii="Times New Roman" w:eastAsia="Arial" w:hAnsi="Times New Roman" w:cs="Times New Roman"/>
          <w:sz w:val="24"/>
          <w:szCs w:val="24"/>
          <w:lang w:val="ru-RU"/>
        </w:rPr>
        <w:t>тов</w:t>
      </w:r>
      <w:r w:rsidRPr="0042339B">
        <w:rPr>
          <w:rFonts w:ascii="Times New Roman" w:eastAsia="Arial" w:hAnsi="Times New Roman" w:cs="Times New Roman"/>
          <w:sz w:val="24"/>
          <w:szCs w:val="24"/>
          <w:lang w:val="ru-RU"/>
        </w:rPr>
        <w:t xml:space="preserve"> проектов, подано 5 заявок на финансирование. Установлено сотрудничество с Агентством регионального развития Юго-Восточной Румынии (</w:t>
      </w:r>
      <w:r w:rsidRPr="00C547AB">
        <w:rPr>
          <w:rFonts w:ascii="Times New Roman" w:eastAsia="Arial" w:hAnsi="Times New Roman" w:cs="Times New Roman"/>
          <w:sz w:val="24"/>
          <w:szCs w:val="24"/>
        </w:rPr>
        <w:t>ADR</w:t>
      </w:r>
      <w:r w:rsidRPr="0042339B">
        <w:rPr>
          <w:rFonts w:ascii="Times New Roman" w:eastAsia="Arial" w:hAnsi="Times New Roman" w:cs="Times New Roman"/>
          <w:sz w:val="24"/>
          <w:szCs w:val="24"/>
          <w:lang w:val="ru-RU"/>
        </w:rPr>
        <w:t xml:space="preserve"> </w:t>
      </w:r>
      <w:r w:rsidRPr="00C547AB">
        <w:rPr>
          <w:rFonts w:ascii="Times New Roman" w:eastAsia="Arial" w:hAnsi="Times New Roman" w:cs="Times New Roman"/>
          <w:sz w:val="24"/>
          <w:szCs w:val="24"/>
        </w:rPr>
        <w:t>Sud</w:t>
      </w:r>
      <w:r w:rsidRPr="0042339B">
        <w:rPr>
          <w:rFonts w:ascii="Times New Roman" w:eastAsia="Arial" w:hAnsi="Times New Roman" w:cs="Times New Roman"/>
          <w:sz w:val="24"/>
          <w:szCs w:val="24"/>
          <w:lang w:val="ru-RU"/>
        </w:rPr>
        <w:t>-</w:t>
      </w:r>
      <w:r w:rsidRPr="00C547AB">
        <w:rPr>
          <w:rFonts w:ascii="Times New Roman" w:eastAsia="Arial" w:hAnsi="Times New Roman" w:cs="Times New Roman"/>
          <w:sz w:val="24"/>
          <w:szCs w:val="24"/>
        </w:rPr>
        <w:t>Est</w:t>
      </w:r>
      <w:r w:rsidRPr="0042339B">
        <w:rPr>
          <w:rFonts w:ascii="Times New Roman" w:eastAsia="Arial" w:hAnsi="Times New Roman" w:cs="Times New Roman"/>
          <w:sz w:val="24"/>
          <w:szCs w:val="24"/>
          <w:lang w:val="ru-RU"/>
        </w:rPr>
        <w:t xml:space="preserve">), турецким агентством </w:t>
      </w:r>
      <w:r w:rsidRPr="00C547AB">
        <w:rPr>
          <w:rFonts w:ascii="Times New Roman" w:eastAsia="Arial" w:hAnsi="Times New Roman" w:cs="Times New Roman"/>
          <w:sz w:val="24"/>
          <w:szCs w:val="24"/>
        </w:rPr>
        <w:t>TIKA</w:t>
      </w:r>
      <w:r w:rsidRPr="0042339B">
        <w:rPr>
          <w:rFonts w:ascii="Times New Roman" w:eastAsia="Arial" w:hAnsi="Times New Roman" w:cs="Times New Roman"/>
          <w:sz w:val="24"/>
          <w:szCs w:val="24"/>
          <w:lang w:val="ru-RU"/>
        </w:rPr>
        <w:t xml:space="preserve">, реализованы совместные мероприятия с проектами </w:t>
      </w:r>
      <w:r w:rsidRPr="00C547AB">
        <w:rPr>
          <w:rFonts w:ascii="Times New Roman" w:eastAsia="Arial" w:hAnsi="Times New Roman" w:cs="Times New Roman"/>
          <w:sz w:val="24"/>
          <w:szCs w:val="24"/>
        </w:rPr>
        <w:t>GIZ</w:t>
      </w:r>
      <w:r w:rsidRPr="0042339B">
        <w:rPr>
          <w:rFonts w:ascii="Times New Roman" w:eastAsia="Arial" w:hAnsi="Times New Roman" w:cs="Times New Roman"/>
          <w:sz w:val="24"/>
          <w:szCs w:val="24"/>
          <w:lang w:val="ru-RU"/>
        </w:rPr>
        <w:t>/</w:t>
      </w:r>
      <w:r w:rsidRPr="00C547AB">
        <w:rPr>
          <w:rFonts w:ascii="Times New Roman" w:eastAsia="Arial" w:hAnsi="Times New Roman" w:cs="Times New Roman"/>
          <w:sz w:val="24"/>
          <w:szCs w:val="24"/>
        </w:rPr>
        <w:t>MSPL</w:t>
      </w:r>
      <w:r w:rsidRPr="0042339B">
        <w:rPr>
          <w:rFonts w:ascii="Times New Roman" w:eastAsia="Arial" w:hAnsi="Times New Roman" w:cs="Times New Roman"/>
          <w:sz w:val="24"/>
          <w:szCs w:val="24"/>
          <w:lang w:val="ru-RU"/>
        </w:rPr>
        <w:t xml:space="preserve">, </w:t>
      </w:r>
      <w:r w:rsidRPr="00C547AB">
        <w:rPr>
          <w:rFonts w:ascii="Times New Roman" w:eastAsia="Arial" w:hAnsi="Times New Roman" w:cs="Times New Roman"/>
          <w:sz w:val="24"/>
          <w:szCs w:val="24"/>
        </w:rPr>
        <w:t>SDC</w:t>
      </w:r>
      <w:r w:rsidRPr="0042339B">
        <w:rPr>
          <w:rFonts w:ascii="Times New Roman" w:eastAsia="Arial" w:hAnsi="Times New Roman" w:cs="Times New Roman"/>
          <w:sz w:val="24"/>
          <w:szCs w:val="24"/>
          <w:lang w:val="ru-RU"/>
        </w:rPr>
        <w:t xml:space="preserve"> («</w:t>
      </w:r>
      <w:r w:rsidRPr="00C547AB">
        <w:rPr>
          <w:rFonts w:ascii="Times New Roman" w:eastAsia="Arial" w:hAnsi="Times New Roman" w:cs="Times New Roman"/>
          <w:sz w:val="24"/>
          <w:szCs w:val="24"/>
        </w:rPr>
        <w:t>M</w:t>
      </w:r>
      <w:r w:rsidRPr="0042339B">
        <w:rPr>
          <w:rFonts w:ascii="Times New Roman" w:eastAsia="Arial" w:hAnsi="Times New Roman" w:cs="Times New Roman"/>
          <w:sz w:val="24"/>
          <w:szCs w:val="24"/>
          <w:lang w:val="ru-RU"/>
        </w:rPr>
        <w:t xml:space="preserve">ă </w:t>
      </w:r>
      <w:proofErr w:type="spellStart"/>
      <w:r w:rsidRPr="00C547AB">
        <w:rPr>
          <w:rFonts w:ascii="Times New Roman" w:eastAsia="Arial" w:hAnsi="Times New Roman" w:cs="Times New Roman"/>
          <w:sz w:val="24"/>
          <w:szCs w:val="24"/>
        </w:rPr>
        <w:t>implic</w:t>
      </w:r>
      <w:proofErr w:type="spellEnd"/>
      <w:r w:rsidRPr="0042339B">
        <w:rPr>
          <w:rFonts w:ascii="Times New Roman" w:eastAsia="Arial" w:hAnsi="Times New Roman" w:cs="Times New Roman"/>
          <w:sz w:val="24"/>
          <w:szCs w:val="24"/>
          <w:lang w:val="ru-RU"/>
        </w:rPr>
        <w:t xml:space="preserve">») и </w:t>
      </w:r>
      <w:r w:rsidRPr="00C547AB">
        <w:rPr>
          <w:rFonts w:ascii="Times New Roman" w:eastAsia="Arial" w:hAnsi="Times New Roman" w:cs="Times New Roman"/>
          <w:sz w:val="24"/>
          <w:szCs w:val="24"/>
        </w:rPr>
        <w:t>Enricher</w:t>
      </w:r>
      <w:r w:rsidRPr="0042339B">
        <w:rPr>
          <w:rFonts w:ascii="Times New Roman" w:eastAsia="Arial" w:hAnsi="Times New Roman" w:cs="Times New Roman"/>
          <w:sz w:val="24"/>
          <w:szCs w:val="24"/>
          <w:lang w:val="ru-RU"/>
        </w:rPr>
        <w:t xml:space="preserve">. </w:t>
      </w:r>
    </w:p>
    <w:p w:rsidR="002E79D5" w:rsidRPr="00346506" w:rsidRDefault="00521AC7" w:rsidP="00346506">
      <w:pPr>
        <w:spacing w:after="0" w:line="240" w:lineRule="auto"/>
        <w:ind w:firstLine="709"/>
        <w:jc w:val="both"/>
        <w:rPr>
          <w:rFonts w:ascii="Times New Roman" w:hAnsi="Times New Roman" w:cs="Times New Roman"/>
          <w:sz w:val="24"/>
          <w:szCs w:val="24"/>
          <w:lang w:val="ru-RU"/>
        </w:rPr>
      </w:pPr>
      <w:r w:rsidRPr="0042339B">
        <w:rPr>
          <w:rFonts w:ascii="Times New Roman" w:eastAsia="Arial" w:hAnsi="Times New Roman" w:cs="Times New Roman"/>
          <w:sz w:val="24"/>
          <w:szCs w:val="24"/>
          <w:lang w:val="ru-RU"/>
        </w:rPr>
        <w:t>В целом</w:t>
      </w:r>
      <w:r w:rsidR="002E79D5">
        <w:rPr>
          <w:rFonts w:ascii="Times New Roman" w:eastAsia="Arial" w:hAnsi="Times New Roman" w:cs="Times New Roman"/>
          <w:sz w:val="24"/>
          <w:szCs w:val="24"/>
          <w:lang w:val="ru-RU"/>
        </w:rPr>
        <w:t>,</w:t>
      </w:r>
      <w:r w:rsidRPr="0042339B">
        <w:rPr>
          <w:rFonts w:ascii="Times New Roman" w:eastAsia="Arial" w:hAnsi="Times New Roman" w:cs="Times New Roman"/>
          <w:sz w:val="24"/>
          <w:szCs w:val="24"/>
          <w:lang w:val="ru-RU"/>
        </w:rPr>
        <w:t xml:space="preserve"> РОП АТО Гагаузия 2022–2024 годы (продлена на 2025 год)</w:t>
      </w:r>
      <w:r w:rsidRPr="0042339B">
        <w:rPr>
          <w:rFonts w:ascii="Times New Roman" w:hAnsi="Times New Roman" w:cs="Times New Roman"/>
          <w:sz w:val="24"/>
          <w:szCs w:val="24"/>
          <w:lang w:val="ru-RU"/>
        </w:rPr>
        <w:t xml:space="preserve"> </w:t>
      </w:r>
      <w:r w:rsidRPr="0042339B">
        <w:rPr>
          <w:rFonts w:ascii="Times New Roman" w:eastAsia="Arial" w:hAnsi="Times New Roman" w:cs="Times New Roman"/>
          <w:sz w:val="24"/>
          <w:szCs w:val="24"/>
          <w:lang w:val="ru-RU"/>
        </w:rPr>
        <w:t xml:space="preserve">выполнена в значительной мере: большинство проектов завершены, освоены существенные объёмы финансирования из государственных и внешних источников, укреплена институциональная база АРР, расширена сеть партнёрств. Регион демонстрирует </w:t>
      </w:r>
      <w:r>
        <w:rPr>
          <w:rFonts w:ascii="Times New Roman" w:eastAsia="Arial" w:hAnsi="Times New Roman" w:cs="Times New Roman"/>
          <w:sz w:val="24"/>
          <w:szCs w:val="24"/>
          <w:lang w:val="ru-RU"/>
        </w:rPr>
        <w:t xml:space="preserve">улучшенные </w:t>
      </w:r>
      <w:r w:rsidRPr="0042339B">
        <w:rPr>
          <w:rFonts w:ascii="Times New Roman" w:eastAsia="Arial" w:hAnsi="Times New Roman" w:cs="Times New Roman"/>
          <w:sz w:val="24"/>
          <w:szCs w:val="24"/>
          <w:lang w:val="ru-RU"/>
        </w:rPr>
        <w:t>показатели водоснабжения, превышающие среднереспубликанские, и активно привлекает международные инвестиции</w:t>
      </w:r>
      <w:r>
        <w:rPr>
          <w:rFonts w:ascii="Times New Roman" w:eastAsia="Arial" w:hAnsi="Times New Roman" w:cs="Times New Roman"/>
          <w:sz w:val="24"/>
          <w:szCs w:val="24"/>
          <w:lang w:val="ru-RU"/>
        </w:rPr>
        <w:t xml:space="preserve"> в регион</w:t>
      </w:r>
      <w:r w:rsidRPr="0042339B">
        <w:rPr>
          <w:rFonts w:ascii="Times New Roman" w:eastAsia="Arial" w:hAnsi="Times New Roman" w:cs="Times New Roman"/>
          <w:sz w:val="24"/>
          <w:szCs w:val="24"/>
          <w:lang w:val="ru-RU"/>
        </w:rPr>
        <w:t xml:space="preserve">. </w:t>
      </w:r>
    </w:p>
    <w:p w:rsidR="00B244E7" w:rsidRPr="00844989" w:rsidRDefault="00A12517" w:rsidP="00F55F48">
      <w:pPr>
        <w:spacing w:line="240" w:lineRule="auto"/>
        <w:jc w:val="both"/>
        <w:rPr>
          <w:rFonts w:ascii="Times New Roman" w:eastAsia="Times New Roman" w:hAnsi="Times New Roman" w:cs="Times New Roman"/>
          <w:b/>
          <w:color w:val="000000"/>
          <w:sz w:val="24"/>
          <w:szCs w:val="24"/>
          <w:lang w:val="ru-RU"/>
        </w:rPr>
      </w:pPr>
      <w:r w:rsidRPr="00A12517">
        <w:rPr>
          <w:rFonts w:ascii="Times New Roman" w:eastAsia="Times New Roman" w:hAnsi="Times New Roman" w:cs="Times New Roman"/>
          <w:b/>
          <w:color w:val="000000"/>
          <w:sz w:val="24"/>
          <w:szCs w:val="24"/>
          <w:lang w:val="ro-MD"/>
        </w:rPr>
        <w:lastRenderedPageBreak/>
        <w:t>II.    АНАЛИЗ РЕГИОНА</w:t>
      </w:r>
      <w:r w:rsidR="00844989">
        <w:rPr>
          <w:rFonts w:ascii="Times New Roman" w:eastAsia="Times New Roman" w:hAnsi="Times New Roman" w:cs="Times New Roman"/>
          <w:b/>
          <w:color w:val="000000"/>
          <w:sz w:val="24"/>
          <w:szCs w:val="24"/>
          <w:lang w:val="ru-RU"/>
        </w:rPr>
        <w:t xml:space="preserve"> (профиль региона)</w:t>
      </w:r>
    </w:p>
    <w:p w:rsidR="00B244E7" w:rsidRPr="00B431C9" w:rsidRDefault="00B244E7" w:rsidP="00B244E7">
      <w:pPr>
        <w:pStyle w:val="a7"/>
        <w:ind w:firstLine="709"/>
      </w:pPr>
      <w:r w:rsidRPr="00C3546C">
        <w:t xml:space="preserve">Социально-экономическое развитие региона АТО Гагаузия отражает его потенциал, структуру экономики и уровень благосостояния населения. Анализ направлен на оценку динамики ключевых показателей за последние годы, выявление основных тенденций, а также </w:t>
      </w:r>
      <w:r w:rsidRPr="00B431C9">
        <w:t>определение ключевых проблем и ограничений регионального развития.</w:t>
      </w:r>
    </w:p>
    <w:p w:rsidR="00B244E7" w:rsidRDefault="00B244E7" w:rsidP="00B244E7">
      <w:pPr>
        <w:pStyle w:val="a7"/>
        <w:ind w:firstLine="709"/>
      </w:pPr>
      <w:r w:rsidRPr="00B431C9">
        <w:t xml:space="preserve">Регион развития АТО Гагаузия характеризуется сравнительно невысокими темпами социально-экономического роста и сталкивается с рядом системных вызовов, включая демографическое сокращение, ограниченный инвестиционный потенциал и дисбалансы в развитии инфраструктуры. Дополнительное негативное влияние на развитие региона оказали внешние шоки последних лет, в том числе пандемия COVID-19, энергетический кризис и последствия войны в Украине, что отразилось на динамике основных социально-экономических показателей. </w:t>
      </w:r>
    </w:p>
    <w:p w:rsidR="00B244E7" w:rsidRDefault="00B244E7" w:rsidP="00B244E7">
      <w:pPr>
        <w:shd w:val="clear" w:color="auto" w:fill="FFFFFF"/>
        <w:spacing w:after="0" w:line="240" w:lineRule="auto"/>
        <w:rPr>
          <w:rFonts w:ascii="Times New Roman" w:eastAsia="Times New Roman" w:hAnsi="Times New Roman" w:cs="Times New Roman"/>
          <w:sz w:val="24"/>
          <w:szCs w:val="24"/>
          <w:lang w:val="ru-RU"/>
        </w:rPr>
      </w:pPr>
    </w:p>
    <w:p w:rsidR="00B244E7" w:rsidRDefault="00B244E7" w:rsidP="00B244E7">
      <w:pPr>
        <w:spacing w:after="0" w:line="240" w:lineRule="auto"/>
        <w:jc w:val="both"/>
        <w:rPr>
          <w:rFonts w:ascii="Times New Roman" w:eastAsia="Times New Roman" w:hAnsi="Times New Roman" w:cs="Times New Roman"/>
          <w:b/>
          <w:bCs/>
          <w:i/>
          <w:iCs/>
          <w:color w:val="000000"/>
          <w:sz w:val="24"/>
          <w:szCs w:val="24"/>
          <w:lang w:val="ru-RU"/>
        </w:rPr>
      </w:pPr>
      <w:r>
        <w:rPr>
          <w:rFonts w:ascii="Times New Roman" w:eastAsia="Times New Roman" w:hAnsi="Times New Roman" w:cs="Times New Roman"/>
          <w:b/>
          <w:bCs/>
          <w:color w:val="2F2F2F"/>
          <w:sz w:val="24"/>
          <w:szCs w:val="24"/>
          <w:lang w:val="ru-RU"/>
        </w:rPr>
        <w:t xml:space="preserve">2.1 </w:t>
      </w:r>
      <w:r w:rsidR="00844989">
        <w:rPr>
          <w:rFonts w:ascii="Times New Roman" w:eastAsia="Times New Roman" w:hAnsi="Times New Roman" w:cs="Times New Roman"/>
          <w:b/>
          <w:bCs/>
          <w:color w:val="2F2F2F"/>
          <w:sz w:val="24"/>
          <w:szCs w:val="24"/>
          <w:lang w:val="ru-RU"/>
        </w:rPr>
        <w:t xml:space="preserve">    </w:t>
      </w:r>
      <w:r w:rsidRPr="008E7336">
        <w:rPr>
          <w:rFonts w:ascii="Times New Roman" w:eastAsia="Times New Roman" w:hAnsi="Times New Roman" w:cs="Times New Roman"/>
          <w:b/>
          <w:bCs/>
          <w:color w:val="2F2F2F"/>
          <w:sz w:val="24"/>
          <w:szCs w:val="24"/>
          <w:lang w:val="ru-RU"/>
        </w:rPr>
        <w:t>Общая характеристика региона</w:t>
      </w:r>
      <w:r>
        <w:rPr>
          <w:rFonts w:ascii="Times New Roman" w:eastAsia="Times New Roman" w:hAnsi="Times New Roman" w:cs="Times New Roman"/>
          <w:b/>
          <w:bCs/>
          <w:i/>
          <w:iCs/>
          <w:color w:val="000000"/>
          <w:sz w:val="24"/>
          <w:szCs w:val="24"/>
          <w:lang w:val="ru-RU"/>
        </w:rPr>
        <w:t xml:space="preserve"> </w:t>
      </w:r>
    </w:p>
    <w:p w:rsidR="00844989" w:rsidRDefault="00844989" w:rsidP="00B244E7">
      <w:pPr>
        <w:spacing w:after="0" w:line="240" w:lineRule="auto"/>
        <w:jc w:val="both"/>
        <w:rPr>
          <w:rFonts w:ascii="Times New Roman" w:eastAsia="Times New Roman" w:hAnsi="Times New Roman" w:cs="Times New Roman"/>
          <w:b/>
          <w:bCs/>
          <w:i/>
          <w:iCs/>
          <w:color w:val="000000"/>
          <w:sz w:val="24"/>
          <w:szCs w:val="24"/>
          <w:lang w:val="ru-RU"/>
        </w:rPr>
      </w:pPr>
    </w:p>
    <w:p w:rsidR="00B244E7" w:rsidRDefault="00B244E7" w:rsidP="00B244E7">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i/>
          <w:iCs/>
          <w:color w:val="000000"/>
          <w:sz w:val="24"/>
          <w:szCs w:val="24"/>
          <w:lang w:val="ru-RU"/>
        </w:rPr>
        <w:t>Административное устройство и население АТО Гагаузия.</w:t>
      </w:r>
      <w:r>
        <w:rPr>
          <w:rFonts w:ascii="Times New Roman" w:eastAsia="Times New Roman" w:hAnsi="Times New Roman" w:cs="Times New Roman"/>
          <w:color w:val="000000"/>
          <w:sz w:val="24"/>
          <w:szCs w:val="24"/>
          <w:lang w:val="ru-RU"/>
        </w:rPr>
        <w:t> </w:t>
      </w:r>
    </w:p>
    <w:p w:rsidR="00B244E7" w:rsidRPr="00223E0D" w:rsidRDefault="00B244E7" w:rsidP="00B244E7">
      <w:pPr>
        <w:spacing w:after="0" w:line="240" w:lineRule="auto"/>
        <w:ind w:firstLine="709"/>
        <w:jc w:val="both"/>
        <w:rPr>
          <w:rFonts w:ascii="Times New Roman" w:eastAsia="Times New Roman" w:hAnsi="Times New Roman" w:cs="Times New Roman"/>
          <w:color w:val="000000"/>
          <w:sz w:val="24"/>
          <w:szCs w:val="24"/>
          <w:lang w:val="ru-MD"/>
        </w:rPr>
      </w:pPr>
      <w:r w:rsidRPr="00223E0D">
        <w:rPr>
          <w:rFonts w:ascii="Times New Roman" w:eastAsia="Times New Roman" w:hAnsi="Times New Roman" w:cs="Times New Roman"/>
          <w:color w:val="000000"/>
          <w:sz w:val="24"/>
          <w:szCs w:val="24"/>
          <w:lang w:val="ru-RU"/>
        </w:rPr>
        <w:t xml:space="preserve">АТО Гагаузия расположена на юге Республики Молдова и представляет собой важную административно-территориальную единицу страны. </w:t>
      </w:r>
      <w:r w:rsidRPr="00223E0D">
        <w:rPr>
          <w:rFonts w:ascii="Times New Roman" w:eastAsia="Times New Roman" w:hAnsi="Times New Roman" w:cs="Times New Roman"/>
          <w:color w:val="000000"/>
          <w:sz w:val="24"/>
          <w:szCs w:val="24"/>
          <w:lang w:val="ru-MD"/>
        </w:rPr>
        <w:t xml:space="preserve">Общая площадь территории региона развития АТО Гагаузия составляет 1848 км² или 6,1% общей территории РМ. </w:t>
      </w:r>
    </w:p>
    <w:p w:rsidR="00B244E7" w:rsidRPr="00223E0D" w:rsidRDefault="00B244E7" w:rsidP="00B244E7">
      <w:pPr>
        <w:spacing w:after="0" w:line="240" w:lineRule="auto"/>
        <w:ind w:firstLine="709"/>
        <w:jc w:val="both"/>
        <w:rPr>
          <w:rFonts w:ascii="Times New Roman" w:eastAsia="Times New Roman" w:hAnsi="Times New Roman" w:cs="Times New Roman"/>
          <w:color w:val="000000"/>
          <w:sz w:val="24"/>
          <w:szCs w:val="24"/>
          <w:lang w:val="ru-MD"/>
        </w:rPr>
      </w:pPr>
      <w:r w:rsidRPr="0093474A">
        <w:rPr>
          <w:rFonts w:ascii="Times New Roman" w:eastAsia="Times New Roman" w:hAnsi="Times New Roman" w:cs="Times New Roman"/>
          <w:sz w:val="24"/>
          <w:szCs w:val="24"/>
          <w:lang w:val="ru-RU"/>
        </w:rPr>
        <w:t xml:space="preserve">Автономно-территориальное образование Гагаузия включает три административных района: </w:t>
      </w:r>
      <w:proofErr w:type="spellStart"/>
      <w:r w:rsidRPr="0093474A">
        <w:rPr>
          <w:rFonts w:ascii="Times New Roman" w:eastAsia="Times New Roman" w:hAnsi="Times New Roman" w:cs="Times New Roman"/>
          <w:sz w:val="24"/>
          <w:szCs w:val="24"/>
          <w:lang w:val="ru-RU"/>
        </w:rPr>
        <w:t>Комратский</w:t>
      </w:r>
      <w:proofErr w:type="spellEnd"/>
      <w:r w:rsidRPr="0093474A">
        <w:rPr>
          <w:rFonts w:ascii="Times New Roman" w:eastAsia="Times New Roman" w:hAnsi="Times New Roman" w:cs="Times New Roman"/>
          <w:sz w:val="24"/>
          <w:szCs w:val="24"/>
          <w:lang w:val="ru-RU"/>
        </w:rPr>
        <w:t xml:space="preserve">, </w:t>
      </w:r>
      <w:proofErr w:type="spellStart"/>
      <w:r w:rsidRPr="0093474A">
        <w:rPr>
          <w:rFonts w:ascii="Times New Roman" w:eastAsia="Times New Roman" w:hAnsi="Times New Roman" w:cs="Times New Roman"/>
          <w:sz w:val="24"/>
          <w:szCs w:val="24"/>
          <w:lang w:val="ru-RU"/>
        </w:rPr>
        <w:t>Чадыр-Лунгский</w:t>
      </w:r>
      <w:proofErr w:type="spellEnd"/>
      <w:r w:rsidRPr="0093474A">
        <w:rPr>
          <w:rFonts w:ascii="Times New Roman" w:eastAsia="Times New Roman" w:hAnsi="Times New Roman" w:cs="Times New Roman"/>
          <w:sz w:val="24"/>
          <w:szCs w:val="24"/>
          <w:lang w:val="ru-RU"/>
        </w:rPr>
        <w:t xml:space="preserve"> и </w:t>
      </w:r>
      <w:proofErr w:type="spellStart"/>
      <w:r w:rsidRPr="0093474A">
        <w:rPr>
          <w:rFonts w:ascii="Times New Roman" w:eastAsia="Times New Roman" w:hAnsi="Times New Roman" w:cs="Times New Roman"/>
          <w:sz w:val="24"/>
          <w:szCs w:val="24"/>
          <w:lang w:val="ru-RU"/>
        </w:rPr>
        <w:t>Вулканештский</w:t>
      </w:r>
      <w:proofErr w:type="spellEnd"/>
      <w:r w:rsidRPr="0093474A">
        <w:rPr>
          <w:rFonts w:ascii="Times New Roman" w:eastAsia="Times New Roman" w:hAnsi="Times New Roman" w:cs="Times New Roman"/>
          <w:sz w:val="24"/>
          <w:szCs w:val="24"/>
          <w:lang w:val="ru-RU"/>
        </w:rPr>
        <w:t>. В соответствии с действующим административно-территориальным делением, в состав АТО Гагаузия входят 2 муниципия, 1 город и 23 села (коммуны). Кроме того, в структуру административных единиц включены 6 населённых пунктов, находящихся в составе городов и коммун. Общее количество населённых пунктов составляет 32.</w:t>
      </w:r>
      <w:r w:rsidRPr="0093474A">
        <w:rPr>
          <w:rStyle w:val="af"/>
          <w:rFonts w:ascii="Times New Roman" w:eastAsia="Times New Roman" w:hAnsi="Times New Roman" w:cs="Times New Roman"/>
          <w:sz w:val="24"/>
          <w:szCs w:val="24"/>
        </w:rPr>
        <w:footnoteReference w:id="1"/>
      </w:r>
    </w:p>
    <w:p w:rsidR="00B244E7" w:rsidRPr="00223E0D" w:rsidRDefault="00B244E7" w:rsidP="00B244E7">
      <w:pPr>
        <w:spacing w:after="0" w:line="240" w:lineRule="auto"/>
        <w:ind w:firstLine="709"/>
        <w:jc w:val="both"/>
        <w:rPr>
          <w:rFonts w:ascii="Times New Roman" w:eastAsia="Times New Roman" w:hAnsi="Times New Roman" w:cs="Times New Roman"/>
          <w:color w:val="000000"/>
          <w:sz w:val="24"/>
          <w:szCs w:val="24"/>
          <w:lang w:val="ru-MD"/>
        </w:rPr>
      </w:pPr>
      <w:r w:rsidRPr="00223E0D">
        <w:rPr>
          <w:rFonts w:ascii="Times New Roman" w:eastAsia="Times New Roman" w:hAnsi="Times New Roman" w:cs="Times New Roman"/>
          <w:color w:val="000000"/>
          <w:sz w:val="24"/>
          <w:szCs w:val="24"/>
          <w:lang w:val="ru-MD"/>
        </w:rPr>
        <w:t xml:space="preserve">Автономия имеет производственно-хозяйственные связи с районами региона развития Юг: </w:t>
      </w:r>
      <w:proofErr w:type="spellStart"/>
      <w:r w:rsidRPr="00223E0D">
        <w:rPr>
          <w:rFonts w:ascii="Times New Roman" w:eastAsia="Times New Roman" w:hAnsi="Times New Roman" w:cs="Times New Roman"/>
          <w:color w:val="000000"/>
          <w:sz w:val="24"/>
          <w:szCs w:val="24"/>
          <w:lang w:val="ru-MD"/>
        </w:rPr>
        <w:t>Кагульский</w:t>
      </w:r>
      <w:proofErr w:type="spellEnd"/>
      <w:r w:rsidRPr="00223E0D">
        <w:rPr>
          <w:rFonts w:ascii="Times New Roman" w:eastAsia="Times New Roman" w:hAnsi="Times New Roman" w:cs="Times New Roman"/>
          <w:color w:val="000000"/>
          <w:sz w:val="24"/>
          <w:szCs w:val="24"/>
          <w:lang w:val="ru-MD"/>
        </w:rPr>
        <w:t xml:space="preserve">, </w:t>
      </w:r>
      <w:proofErr w:type="spellStart"/>
      <w:r w:rsidRPr="00223E0D">
        <w:rPr>
          <w:rFonts w:ascii="Times New Roman" w:eastAsia="Times New Roman" w:hAnsi="Times New Roman" w:cs="Times New Roman"/>
          <w:color w:val="000000"/>
          <w:sz w:val="24"/>
          <w:szCs w:val="24"/>
          <w:lang w:val="ru-MD"/>
        </w:rPr>
        <w:t>Кантемирский</w:t>
      </w:r>
      <w:proofErr w:type="spellEnd"/>
      <w:r w:rsidRPr="00223E0D">
        <w:rPr>
          <w:rFonts w:ascii="Times New Roman" w:eastAsia="Times New Roman" w:hAnsi="Times New Roman" w:cs="Times New Roman"/>
          <w:color w:val="000000"/>
          <w:sz w:val="24"/>
          <w:szCs w:val="24"/>
          <w:lang w:val="ru-MD"/>
        </w:rPr>
        <w:t xml:space="preserve">, </w:t>
      </w:r>
      <w:proofErr w:type="spellStart"/>
      <w:r w:rsidRPr="00223E0D">
        <w:rPr>
          <w:rFonts w:ascii="Times New Roman" w:eastAsia="Times New Roman" w:hAnsi="Times New Roman" w:cs="Times New Roman"/>
          <w:color w:val="000000"/>
          <w:sz w:val="24"/>
          <w:szCs w:val="24"/>
          <w:lang w:val="ru-MD"/>
        </w:rPr>
        <w:t>Тараклийский</w:t>
      </w:r>
      <w:proofErr w:type="spellEnd"/>
      <w:r w:rsidRPr="00223E0D">
        <w:rPr>
          <w:rFonts w:ascii="Times New Roman" w:eastAsia="Times New Roman" w:hAnsi="Times New Roman" w:cs="Times New Roman"/>
          <w:color w:val="000000"/>
          <w:sz w:val="24"/>
          <w:szCs w:val="24"/>
          <w:lang w:val="ru-MD"/>
        </w:rPr>
        <w:t xml:space="preserve">, Бессарабский, </w:t>
      </w:r>
      <w:proofErr w:type="spellStart"/>
      <w:r w:rsidRPr="00223E0D">
        <w:rPr>
          <w:rFonts w:ascii="Times New Roman" w:eastAsia="Times New Roman" w:hAnsi="Times New Roman" w:cs="Times New Roman"/>
          <w:color w:val="000000"/>
          <w:sz w:val="24"/>
          <w:szCs w:val="24"/>
          <w:lang w:val="ru-MD"/>
        </w:rPr>
        <w:t>Леовский</w:t>
      </w:r>
      <w:proofErr w:type="spellEnd"/>
      <w:r w:rsidRPr="00223E0D">
        <w:rPr>
          <w:rFonts w:ascii="Times New Roman" w:eastAsia="Times New Roman" w:hAnsi="Times New Roman" w:cs="Times New Roman"/>
          <w:color w:val="000000"/>
          <w:sz w:val="24"/>
          <w:szCs w:val="24"/>
          <w:lang w:val="ru-MD"/>
        </w:rPr>
        <w:t xml:space="preserve"> и </w:t>
      </w:r>
      <w:proofErr w:type="spellStart"/>
      <w:r w:rsidRPr="00223E0D">
        <w:rPr>
          <w:rFonts w:ascii="Times New Roman" w:eastAsia="Times New Roman" w:hAnsi="Times New Roman" w:cs="Times New Roman"/>
          <w:color w:val="000000"/>
          <w:sz w:val="24"/>
          <w:szCs w:val="24"/>
          <w:lang w:val="ru-MD"/>
        </w:rPr>
        <w:t>Чимишлийский</w:t>
      </w:r>
      <w:proofErr w:type="spellEnd"/>
      <w:r w:rsidRPr="00223E0D">
        <w:rPr>
          <w:rFonts w:ascii="Times New Roman" w:eastAsia="Times New Roman" w:hAnsi="Times New Roman" w:cs="Times New Roman"/>
          <w:color w:val="000000"/>
          <w:sz w:val="24"/>
          <w:szCs w:val="24"/>
          <w:lang w:val="ru-MD"/>
        </w:rPr>
        <w:t>. На востоке регион граничит с Одесской областью Украины.</w:t>
      </w:r>
    </w:p>
    <w:p w:rsidR="00B244E7" w:rsidRDefault="00B244E7" w:rsidP="00B244E7">
      <w:pPr>
        <w:spacing w:after="0" w:line="240" w:lineRule="auto"/>
        <w:ind w:firstLine="709"/>
        <w:jc w:val="both"/>
        <w:rPr>
          <w:rFonts w:ascii="Times New Roman" w:eastAsia="Times New Roman" w:hAnsi="Times New Roman" w:cs="Times New Roman"/>
          <w:color w:val="000000"/>
          <w:sz w:val="24"/>
          <w:szCs w:val="24"/>
          <w:lang w:val="ru-RU"/>
        </w:rPr>
      </w:pPr>
      <w:r w:rsidRPr="00223E0D">
        <w:rPr>
          <w:rFonts w:ascii="Times New Roman" w:eastAsia="Times New Roman" w:hAnsi="Times New Roman" w:cs="Times New Roman"/>
          <w:color w:val="000000"/>
          <w:sz w:val="24"/>
          <w:szCs w:val="24"/>
          <w:lang w:val="ru-RU"/>
        </w:rPr>
        <w:t>Анализ численности населения в разрезе регионов развития позволяет определить место АТО Гагаузия в демографической структуре страны (</w:t>
      </w:r>
      <w:r w:rsidRPr="00E6706D">
        <w:rPr>
          <w:rFonts w:ascii="Times New Roman" w:eastAsia="Times New Roman" w:hAnsi="Times New Roman" w:cs="Times New Roman"/>
          <w:color w:val="000000"/>
          <w:sz w:val="24"/>
          <w:szCs w:val="24"/>
          <w:lang w:val="ru-RU"/>
        </w:rPr>
        <w:t>таблица 2.1).</w:t>
      </w:r>
    </w:p>
    <w:p w:rsidR="00F55F48" w:rsidRPr="00223E0D" w:rsidRDefault="00F55F48" w:rsidP="00B244E7">
      <w:pPr>
        <w:spacing w:after="0" w:line="240" w:lineRule="auto"/>
        <w:ind w:firstLine="709"/>
        <w:jc w:val="both"/>
        <w:rPr>
          <w:rFonts w:ascii="Times New Roman" w:eastAsia="Times New Roman" w:hAnsi="Times New Roman" w:cs="Times New Roman"/>
          <w:color w:val="000000"/>
          <w:sz w:val="24"/>
          <w:szCs w:val="24"/>
          <w:lang w:val="ru-RU"/>
        </w:rPr>
      </w:pPr>
    </w:p>
    <w:p w:rsidR="00B244E7" w:rsidRDefault="00B244E7" w:rsidP="00B244E7">
      <w:pPr>
        <w:spacing w:after="0" w:line="240" w:lineRule="auto"/>
        <w:jc w:val="center"/>
        <w:rPr>
          <w:rFonts w:ascii="Times New Roman" w:hAnsi="Times New Roman" w:cs="Times New Roman"/>
          <w:b/>
          <w:bCs/>
          <w:sz w:val="24"/>
          <w:szCs w:val="24"/>
          <w:lang w:val="ru-RU"/>
        </w:rPr>
      </w:pPr>
      <w:r w:rsidRPr="00E6706D">
        <w:rPr>
          <w:rFonts w:ascii="Times New Roman" w:hAnsi="Times New Roman" w:cs="Times New Roman"/>
          <w:b/>
          <w:bCs/>
          <w:sz w:val="24"/>
          <w:szCs w:val="24"/>
          <w:lang w:val="ru-RU"/>
        </w:rPr>
        <w:t>Таблица</w:t>
      </w:r>
      <w:r>
        <w:rPr>
          <w:rFonts w:ascii="Times New Roman" w:hAnsi="Times New Roman" w:cs="Times New Roman"/>
          <w:b/>
          <w:bCs/>
          <w:sz w:val="24"/>
          <w:szCs w:val="24"/>
          <w:lang w:val="ru-RU"/>
        </w:rPr>
        <w:t xml:space="preserve"> 2.1</w:t>
      </w:r>
      <w:r w:rsidRPr="00223E0D">
        <w:rPr>
          <w:rFonts w:ascii="Times New Roman" w:hAnsi="Times New Roman" w:cs="Times New Roman"/>
          <w:b/>
          <w:bCs/>
          <w:sz w:val="24"/>
          <w:szCs w:val="24"/>
          <w:lang w:val="ru-RU"/>
        </w:rPr>
        <w:t xml:space="preserve"> Численность населения с обычным местом проживания по регионам развития Республики Молдова, 2021–2025 гг., человек</w:t>
      </w:r>
    </w:p>
    <w:p w:rsidR="007451C2" w:rsidRPr="00223E0D" w:rsidRDefault="007451C2" w:rsidP="00B244E7">
      <w:pPr>
        <w:spacing w:after="0" w:line="240" w:lineRule="auto"/>
        <w:jc w:val="center"/>
        <w:rPr>
          <w:rFonts w:ascii="Times New Roman" w:hAnsi="Times New Roman" w:cs="Times New Roman"/>
          <w:b/>
          <w:bCs/>
          <w:sz w:val="24"/>
          <w:szCs w:val="24"/>
          <w:lang w:val="ru-RU"/>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06"/>
        <w:gridCol w:w="1405"/>
        <w:gridCol w:w="1405"/>
        <w:gridCol w:w="1405"/>
        <w:gridCol w:w="1405"/>
      </w:tblGrid>
      <w:tr w:rsidR="00B244E7" w:rsidRPr="009B253F" w:rsidTr="00F55F48">
        <w:trPr>
          <w:trHeight w:val="433"/>
        </w:trPr>
        <w:tc>
          <w:tcPr>
            <w:tcW w:w="0" w:type="auto"/>
          </w:tcPr>
          <w:p w:rsidR="00B244E7" w:rsidRPr="009B253F" w:rsidRDefault="00B244E7" w:rsidP="00B244E7">
            <w:pPr>
              <w:jc w:val="center"/>
              <w:rPr>
                <w:rFonts w:ascii="Times New Roman" w:eastAsia="Times New Roman" w:hAnsi="Times New Roman" w:cs="Times New Roman"/>
                <w:b/>
                <w:bCs/>
                <w:color w:val="000000"/>
              </w:rPr>
            </w:pPr>
            <w:r w:rsidRPr="00397F05">
              <w:rPr>
                <w:rFonts w:ascii="Times New Roman" w:eastAsia="Times New Roman" w:hAnsi="Times New Roman" w:cs="Times New Roman"/>
                <w:b/>
                <w:bCs/>
                <w:color w:val="000000"/>
                <w:lang w:val="ru-RU"/>
              </w:rPr>
              <w:t>Регион</w:t>
            </w:r>
          </w:p>
        </w:tc>
        <w:tc>
          <w:tcPr>
            <w:tcW w:w="0" w:type="auto"/>
            <w:hideMark/>
          </w:tcPr>
          <w:p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2021</w:t>
            </w:r>
          </w:p>
        </w:tc>
        <w:tc>
          <w:tcPr>
            <w:tcW w:w="0" w:type="auto"/>
            <w:hideMark/>
          </w:tcPr>
          <w:p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2022</w:t>
            </w:r>
          </w:p>
        </w:tc>
        <w:tc>
          <w:tcPr>
            <w:tcW w:w="0" w:type="auto"/>
            <w:hideMark/>
          </w:tcPr>
          <w:p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2023</w:t>
            </w:r>
          </w:p>
        </w:tc>
        <w:tc>
          <w:tcPr>
            <w:tcW w:w="0" w:type="auto"/>
            <w:hideMark/>
          </w:tcPr>
          <w:p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2024</w:t>
            </w:r>
          </w:p>
        </w:tc>
        <w:tc>
          <w:tcPr>
            <w:tcW w:w="0" w:type="auto"/>
            <w:hideMark/>
          </w:tcPr>
          <w:p w:rsidR="00B244E7" w:rsidRPr="009B253F" w:rsidRDefault="00B244E7" w:rsidP="00B244E7">
            <w:pPr>
              <w:jc w:val="center"/>
              <w:rPr>
                <w:rFonts w:ascii="Times New Roman" w:eastAsia="Times New Roman" w:hAnsi="Times New Roman" w:cs="Times New Roman"/>
                <w:b/>
                <w:bCs/>
                <w:color w:val="000000"/>
              </w:rPr>
            </w:pPr>
            <w:r w:rsidRPr="009B253F">
              <w:rPr>
                <w:rFonts w:ascii="Times New Roman" w:eastAsia="Times New Roman" w:hAnsi="Times New Roman" w:cs="Times New Roman"/>
                <w:b/>
                <w:bCs/>
                <w:color w:val="000000"/>
              </w:rPr>
              <w:t>2025</w:t>
            </w:r>
          </w:p>
        </w:tc>
      </w:tr>
      <w:tr w:rsidR="00B244E7" w:rsidRPr="009B253F" w:rsidTr="00F55F48">
        <w:trPr>
          <w:trHeight w:val="433"/>
        </w:trPr>
        <w:tc>
          <w:tcPr>
            <w:tcW w:w="0" w:type="auto"/>
          </w:tcPr>
          <w:p w:rsidR="00B244E7" w:rsidRPr="009B253F" w:rsidRDefault="00B244E7" w:rsidP="00B244E7">
            <w:pPr>
              <w:jc w:val="both"/>
              <w:rPr>
                <w:rFonts w:ascii="Times New Roman" w:eastAsia="Times New Roman" w:hAnsi="Times New Roman" w:cs="Times New Roman"/>
                <w:b/>
                <w:bCs/>
                <w:color w:val="000000"/>
              </w:rPr>
            </w:pPr>
            <w:r w:rsidRPr="00463D51">
              <w:rPr>
                <w:rFonts w:ascii="Times New Roman" w:eastAsia="Times New Roman" w:hAnsi="Times New Roman" w:cs="Times New Roman"/>
                <w:color w:val="000000"/>
                <w:lang w:val="ru-RU"/>
              </w:rPr>
              <w:t xml:space="preserve">Всего </w:t>
            </w:r>
            <w:r>
              <w:rPr>
                <w:rFonts w:ascii="Times New Roman" w:eastAsia="Times New Roman" w:hAnsi="Times New Roman" w:cs="Times New Roman"/>
                <w:color w:val="000000"/>
                <w:lang w:val="ru-RU"/>
              </w:rPr>
              <w:t>в стране</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2 626 588</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2 565 030</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2 492 278</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2 423 287</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2 381 325</w:t>
            </w:r>
          </w:p>
        </w:tc>
      </w:tr>
      <w:tr w:rsidR="00B244E7" w:rsidRPr="009B253F" w:rsidTr="00F55F48">
        <w:trPr>
          <w:trHeight w:val="433"/>
        </w:trPr>
        <w:tc>
          <w:tcPr>
            <w:tcW w:w="0" w:type="auto"/>
          </w:tcPr>
          <w:p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РР Кишинев</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669 758</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671 667</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670 062</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665 461</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661 601</w:t>
            </w:r>
          </w:p>
        </w:tc>
      </w:tr>
      <w:tr w:rsidR="00B244E7" w:rsidRPr="009B253F" w:rsidTr="00F55F48">
        <w:trPr>
          <w:trHeight w:val="433"/>
        </w:trPr>
        <w:tc>
          <w:tcPr>
            <w:tcW w:w="0" w:type="auto"/>
          </w:tcPr>
          <w:p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РР Север</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729 772</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703 435</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672 517</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644 574</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627 911</w:t>
            </w:r>
          </w:p>
        </w:tc>
      </w:tr>
      <w:tr w:rsidR="00B244E7" w:rsidRPr="009B253F" w:rsidTr="00F55F48">
        <w:trPr>
          <w:trHeight w:val="433"/>
        </w:trPr>
        <w:tc>
          <w:tcPr>
            <w:tcW w:w="0" w:type="auto"/>
          </w:tcPr>
          <w:p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 xml:space="preserve">РР Центр </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744 534</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722 295</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696 669</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674 190</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663 007</w:t>
            </w:r>
          </w:p>
        </w:tc>
      </w:tr>
      <w:tr w:rsidR="00B244E7" w:rsidRPr="009B253F" w:rsidTr="00F55F48">
        <w:trPr>
          <w:trHeight w:val="433"/>
        </w:trPr>
        <w:tc>
          <w:tcPr>
            <w:tcW w:w="0" w:type="auto"/>
          </w:tcPr>
          <w:p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РР Юг</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360 230</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348 071</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335 779</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323 866</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315 823</w:t>
            </w:r>
          </w:p>
        </w:tc>
      </w:tr>
      <w:tr w:rsidR="00B244E7" w:rsidRPr="009B253F" w:rsidTr="00F55F48">
        <w:trPr>
          <w:trHeight w:val="433"/>
        </w:trPr>
        <w:tc>
          <w:tcPr>
            <w:tcW w:w="0" w:type="auto"/>
          </w:tcPr>
          <w:p w:rsidR="00B244E7" w:rsidRPr="009B253F" w:rsidRDefault="00B244E7" w:rsidP="00B244E7">
            <w:pPr>
              <w:jc w:val="both"/>
              <w:rPr>
                <w:rFonts w:ascii="Times New Roman" w:eastAsia="Times New Roman" w:hAnsi="Times New Roman" w:cs="Times New Roman"/>
                <w:b/>
                <w:bCs/>
                <w:color w:val="000000"/>
              </w:rPr>
            </w:pPr>
            <w:r w:rsidRPr="00C714B0">
              <w:rPr>
                <w:rFonts w:ascii="Times New Roman" w:eastAsia="Times New Roman" w:hAnsi="Times New Roman" w:cs="Times New Roman"/>
                <w:color w:val="000000"/>
                <w:lang w:val="ru-RU"/>
              </w:rPr>
              <w:t xml:space="preserve">РР АТО Гагаузия </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122 310</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119 626</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117 251</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115 196</w:t>
            </w:r>
          </w:p>
        </w:tc>
        <w:tc>
          <w:tcPr>
            <w:tcW w:w="0" w:type="auto"/>
            <w:noWrap/>
            <w:hideMark/>
          </w:tcPr>
          <w:p w:rsidR="00B244E7" w:rsidRPr="009B253F" w:rsidRDefault="00B244E7" w:rsidP="00B244E7">
            <w:pPr>
              <w:jc w:val="right"/>
              <w:rPr>
                <w:rFonts w:ascii="Times New Roman" w:eastAsia="Times New Roman" w:hAnsi="Times New Roman" w:cs="Times New Roman"/>
                <w:color w:val="000000"/>
              </w:rPr>
            </w:pPr>
            <w:r w:rsidRPr="009B253F">
              <w:rPr>
                <w:rFonts w:ascii="Times New Roman" w:eastAsia="Times New Roman" w:hAnsi="Times New Roman" w:cs="Times New Roman"/>
                <w:color w:val="000000"/>
              </w:rPr>
              <w:t>112 983</w:t>
            </w:r>
          </w:p>
        </w:tc>
      </w:tr>
    </w:tbl>
    <w:p w:rsidR="00B244E7" w:rsidRDefault="00B244E7" w:rsidP="00B244E7">
      <w:pPr>
        <w:spacing w:after="0" w:line="240" w:lineRule="auto"/>
        <w:ind w:right="-22"/>
        <w:jc w:val="both"/>
        <w:rPr>
          <w:rStyle w:val="af0"/>
          <w:rFonts w:ascii="Times New Roman" w:hAnsi="Times New Roman" w:cs="Times New Roman"/>
          <w:i/>
          <w:iCs/>
          <w:sz w:val="16"/>
          <w:szCs w:val="16"/>
        </w:rPr>
      </w:pPr>
      <w:proofErr w:type="spellStart"/>
      <w:r w:rsidRPr="00F93EFA">
        <w:rPr>
          <w:rFonts w:ascii="Times New Roman" w:hAnsi="Times New Roman" w:cs="Times New Roman"/>
          <w:i/>
          <w:iCs/>
          <w:sz w:val="16"/>
          <w:szCs w:val="16"/>
        </w:rPr>
        <w:t>Источник</w:t>
      </w:r>
      <w:proofErr w:type="spellEnd"/>
      <w:r w:rsidRPr="00F93EFA">
        <w:rPr>
          <w:rFonts w:ascii="Times New Roman" w:hAnsi="Times New Roman" w:cs="Times New Roman"/>
          <w:i/>
          <w:iCs/>
          <w:sz w:val="16"/>
          <w:szCs w:val="16"/>
        </w:rPr>
        <w:t xml:space="preserve">: Banca de date </w:t>
      </w:r>
      <w:proofErr w:type="spellStart"/>
      <w:r w:rsidRPr="00F93EFA">
        <w:rPr>
          <w:rFonts w:ascii="Times New Roman" w:hAnsi="Times New Roman" w:cs="Times New Roman"/>
          <w:i/>
          <w:iCs/>
          <w:sz w:val="16"/>
          <w:szCs w:val="16"/>
        </w:rPr>
        <w:t>statistică</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StatBank</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Populația</w:t>
      </w:r>
      <w:proofErr w:type="spellEnd"/>
      <w:r w:rsidRPr="00F93EFA">
        <w:rPr>
          <w:rFonts w:ascii="Times New Roman" w:hAnsi="Times New Roman" w:cs="Times New Roman"/>
          <w:i/>
          <w:iCs/>
          <w:sz w:val="16"/>
          <w:szCs w:val="16"/>
        </w:rPr>
        <w:t xml:space="preserve"> cu </w:t>
      </w:r>
      <w:proofErr w:type="spellStart"/>
      <w:r w:rsidRPr="00F93EFA">
        <w:rPr>
          <w:rFonts w:ascii="Times New Roman" w:hAnsi="Times New Roman" w:cs="Times New Roman"/>
          <w:i/>
          <w:iCs/>
          <w:sz w:val="16"/>
          <w:szCs w:val="16"/>
        </w:rPr>
        <w:t>reședință</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obișnuită</w:t>
      </w:r>
      <w:proofErr w:type="spellEnd"/>
      <w:r w:rsidRPr="00F93EFA">
        <w:rPr>
          <w:rFonts w:ascii="Times New Roman" w:hAnsi="Times New Roman" w:cs="Times New Roman"/>
          <w:i/>
          <w:iCs/>
          <w:sz w:val="16"/>
          <w:szCs w:val="16"/>
        </w:rPr>
        <w:t xml:space="preserve"> pe </w:t>
      </w:r>
      <w:proofErr w:type="spellStart"/>
      <w:r w:rsidRPr="00F93EFA">
        <w:rPr>
          <w:rFonts w:ascii="Times New Roman" w:hAnsi="Times New Roman" w:cs="Times New Roman"/>
          <w:i/>
          <w:iCs/>
          <w:sz w:val="16"/>
          <w:szCs w:val="16"/>
        </w:rPr>
        <w:t>regiuni</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raioane</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grupe</w:t>
      </w:r>
      <w:proofErr w:type="spellEnd"/>
      <w:r w:rsidRPr="00F93EFA">
        <w:rPr>
          <w:rFonts w:ascii="Times New Roman" w:hAnsi="Times New Roman" w:cs="Times New Roman"/>
          <w:i/>
          <w:iCs/>
          <w:sz w:val="16"/>
          <w:szCs w:val="16"/>
        </w:rPr>
        <w:t xml:space="preserve"> de </w:t>
      </w:r>
      <w:proofErr w:type="spellStart"/>
      <w:r w:rsidRPr="00F93EFA">
        <w:rPr>
          <w:rFonts w:ascii="Times New Roman" w:hAnsi="Times New Roman" w:cs="Times New Roman"/>
          <w:i/>
          <w:iCs/>
          <w:sz w:val="16"/>
          <w:szCs w:val="16"/>
        </w:rPr>
        <w:t>vârstă</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medii</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și</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sexe</w:t>
      </w:r>
      <w:proofErr w:type="spellEnd"/>
      <w:r w:rsidRPr="00F93EFA">
        <w:rPr>
          <w:rFonts w:ascii="Times New Roman" w:hAnsi="Times New Roman" w:cs="Times New Roman"/>
          <w:i/>
          <w:iCs/>
          <w:sz w:val="16"/>
          <w:szCs w:val="16"/>
        </w:rPr>
        <w:t xml:space="preserve">, la </w:t>
      </w:r>
      <w:proofErr w:type="spellStart"/>
      <w:r w:rsidRPr="00F93EFA">
        <w:rPr>
          <w:rFonts w:ascii="Times New Roman" w:hAnsi="Times New Roman" w:cs="Times New Roman"/>
          <w:i/>
          <w:iCs/>
          <w:sz w:val="16"/>
          <w:szCs w:val="16"/>
        </w:rPr>
        <w:t>începutul</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anului</w:t>
      </w:r>
      <w:proofErr w:type="spellEnd"/>
      <w:r w:rsidRPr="00F93EFA">
        <w:rPr>
          <w:rFonts w:ascii="Times New Roman" w:hAnsi="Times New Roman" w:cs="Times New Roman"/>
          <w:i/>
          <w:iCs/>
          <w:sz w:val="16"/>
          <w:szCs w:val="16"/>
        </w:rPr>
        <w:t>, 2014–2025 [</w:t>
      </w:r>
      <w:proofErr w:type="spellStart"/>
      <w:r w:rsidRPr="00F93EFA">
        <w:rPr>
          <w:rFonts w:ascii="Times New Roman" w:hAnsi="Times New Roman" w:cs="Times New Roman"/>
          <w:i/>
          <w:iCs/>
          <w:sz w:val="16"/>
          <w:szCs w:val="16"/>
        </w:rPr>
        <w:t>resursă</w:t>
      </w:r>
      <w:proofErr w:type="spellEnd"/>
      <w:r w:rsidRPr="00F93EFA">
        <w:rPr>
          <w:rFonts w:ascii="Times New Roman" w:hAnsi="Times New Roman" w:cs="Times New Roman"/>
          <w:i/>
          <w:iCs/>
          <w:sz w:val="16"/>
          <w:szCs w:val="16"/>
        </w:rPr>
        <w:t xml:space="preserve"> </w:t>
      </w:r>
      <w:proofErr w:type="spellStart"/>
      <w:r w:rsidRPr="00F93EFA">
        <w:rPr>
          <w:rFonts w:ascii="Times New Roman" w:hAnsi="Times New Roman" w:cs="Times New Roman"/>
          <w:i/>
          <w:iCs/>
          <w:sz w:val="16"/>
          <w:szCs w:val="16"/>
        </w:rPr>
        <w:t>electronică</w:t>
      </w:r>
      <w:proofErr w:type="spellEnd"/>
      <w:r w:rsidRPr="00F93EFA">
        <w:rPr>
          <w:rFonts w:ascii="Times New Roman" w:hAnsi="Times New Roman" w:cs="Times New Roman"/>
          <w:i/>
          <w:iCs/>
          <w:sz w:val="16"/>
          <w:szCs w:val="16"/>
        </w:rPr>
        <w:t xml:space="preserve">]. – </w:t>
      </w:r>
      <w:proofErr w:type="spellStart"/>
      <w:r w:rsidRPr="00F93EFA">
        <w:rPr>
          <w:rFonts w:ascii="Times New Roman" w:hAnsi="Times New Roman" w:cs="Times New Roman"/>
          <w:i/>
          <w:iCs/>
          <w:sz w:val="16"/>
          <w:szCs w:val="16"/>
        </w:rPr>
        <w:t>Disponibil</w:t>
      </w:r>
      <w:proofErr w:type="spellEnd"/>
      <w:r w:rsidRPr="00F93EFA">
        <w:rPr>
          <w:rFonts w:ascii="Times New Roman" w:hAnsi="Times New Roman" w:cs="Times New Roman"/>
          <w:i/>
          <w:iCs/>
          <w:sz w:val="16"/>
          <w:szCs w:val="16"/>
        </w:rPr>
        <w:t xml:space="preserve">: </w:t>
      </w:r>
      <w:hyperlink r:id="rId11" w:tgtFrame="_new" w:history="1">
        <w:proofErr w:type="spellStart"/>
        <w:r w:rsidRPr="00F93EFA">
          <w:rPr>
            <w:rStyle w:val="af0"/>
            <w:rFonts w:ascii="Times New Roman" w:hAnsi="Times New Roman" w:cs="Times New Roman"/>
            <w:i/>
            <w:iCs/>
            <w:sz w:val="16"/>
            <w:szCs w:val="16"/>
          </w:rPr>
          <w:t>StatBank</w:t>
        </w:r>
        <w:proofErr w:type="spellEnd"/>
        <w:r w:rsidRPr="00F93EFA">
          <w:rPr>
            <w:rStyle w:val="af0"/>
            <w:rFonts w:ascii="Times New Roman" w:hAnsi="Times New Roman" w:cs="Times New Roman"/>
            <w:i/>
            <w:iCs/>
            <w:sz w:val="16"/>
            <w:szCs w:val="16"/>
          </w:rPr>
          <w:t xml:space="preserve"> </w:t>
        </w:r>
        <w:proofErr w:type="spellStart"/>
        <w:r w:rsidRPr="00F93EFA">
          <w:rPr>
            <w:rStyle w:val="af0"/>
            <w:rFonts w:ascii="Times New Roman" w:hAnsi="Times New Roman" w:cs="Times New Roman"/>
            <w:i/>
            <w:iCs/>
            <w:sz w:val="16"/>
            <w:szCs w:val="16"/>
          </w:rPr>
          <w:t>tabel</w:t>
        </w:r>
        <w:proofErr w:type="spellEnd"/>
      </w:hyperlink>
    </w:p>
    <w:p w:rsidR="00F55F48" w:rsidRPr="00F93EFA" w:rsidRDefault="00F55F48" w:rsidP="00B244E7">
      <w:pPr>
        <w:spacing w:after="0" w:line="240" w:lineRule="auto"/>
        <w:ind w:right="-22"/>
        <w:jc w:val="both"/>
        <w:rPr>
          <w:rFonts w:ascii="Times New Roman" w:hAnsi="Times New Roman" w:cs="Times New Roman"/>
          <w:i/>
          <w:iCs/>
          <w:color w:val="0563C1" w:themeColor="hyperlink"/>
          <w:sz w:val="16"/>
          <w:szCs w:val="16"/>
          <w:u w:val="single"/>
        </w:rPr>
      </w:pPr>
    </w:p>
    <w:p w:rsidR="00B244E7" w:rsidRPr="00DD4D0F" w:rsidRDefault="00B244E7" w:rsidP="00B244E7">
      <w:pPr>
        <w:spacing w:after="0" w:line="240" w:lineRule="auto"/>
        <w:ind w:firstLine="709"/>
        <w:jc w:val="both"/>
        <w:rPr>
          <w:rFonts w:ascii="Times New Roman" w:eastAsia="Times New Roman" w:hAnsi="Times New Roman" w:cs="Times New Roman"/>
          <w:sz w:val="24"/>
          <w:szCs w:val="24"/>
          <w:lang w:val="ru-RU"/>
        </w:rPr>
      </w:pPr>
      <w:r w:rsidRPr="00FA7C72">
        <w:rPr>
          <w:rFonts w:ascii="Times New Roman" w:eastAsia="Times New Roman" w:hAnsi="Times New Roman" w:cs="Times New Roman"/>
          <w:lang w:val="ru-RU"/>
        </w:rPr>
        <w:t xml:space="preserve">В 2021–2025 гг. численность населения Республики Молдова демонстрирует устойчивую тенденцию к снижению — с 2 626,6 тыс. человек в 2021 году до 2 381,3 тыс. человек в 2025 году, </w:t>
      </w:r>
      <w:r w:rsidRPr="00FA7C72">
        <w:rPr>
          <w:rFonts w:ascii="Times New Roman" w:eastAsia="Times New Roman" w:hAnsi="Times New Roman" w:cs="Times New Roman"/>
          <w:lang w:val="ru-RU"/>
        </w:rPr>
        <w:lastRenderedPageBreak/>
        <w:t xml:space="preserve">что </w:t>
      </w:r>
      <w:r w:rsidRPr="00DD4D0F">
        <w:rPr>
          <w:rFonts w:ascii="Times New Roman" w:eastAsia="Times New Roman" w:hAnsi="Times New Roman" w:cs="Times New Roman"/>
          <w:sz w:val="24"/>
          <w:szCs w:val="24"/>
          <w:lang w:val="ru-RU"/>
        </w:rPr>
        <w:t>составляет сокращение на 9,3%. Данная динамика отражает продолжающиеся негативные демографические процессы, обусловленные естественной убылью населения и миграционным оттоком.</w:t>
      </w:r>
    </w:p>
    <w:p w:rsidR="003F5D83" w:rsidRPr="00DD4D0F" w:rsidRDefault="003F5D83" w:rsidP="003F5D83">
      <w:pPr>
        <w:spacing w:after="0" w:line="240" w:lineRule="auto"/>
        <w:ind w:firstLine="709"/>
        <w:jc w:val="both"/>
        <w:rPr>
          <w:rFonts w:ascii="Times New Roman" w:eastAsia="Times New Roman" w:hAnsi="Times New Roman" w:cs="Times New Roman"/>
          <w:sz w:val="24"/>
          <w:szCs w:val="24"/>
          <w:lang w:val="ru-RU"/>
        </w:rPr>
      </w:pPr>
      <w:r w:rsidRPr="00DD4D0F">
        <w:rPr>
          <w:rFonts w:ascii="Times New Roman" w:eastAsia="Times New Roman" w:hAnsi="Times New Roman" w:cs="Times New Roman"/>
          <w:sz w:val="24"/>
          <w:szCs w:val="24"/>
          <w:lang w:val="ru-RU"/>
        </w:rPr>
        <w:t>Во всех регионах страны наблюдается аналогичная тенденция сокращения численности населения. Наиболее значительное снижение зафиксировано в Северном и Южном регионах, где демографический спад носит более выраженный характер.</w:t>
      </w:r>
    </w:p>
    <w:p w:rsidR="003F5D83" w:rsidRPr="00DD4D0F" w:rsidRDefault="003F5D83" w:rsidP="003F5D83">
      <w:pPr>
        <w:spacing w:after="0" w:line="240" w:lineRule="auto"/>
        <w:ind w:firstLine="709"/>
        <w:jc w:val="both"/>
        <w:rPr>
          <w:rFonts w:ascii="Times New Roman" w:eastAsia="Times New Roman" w:hAnsi="Times New Roman" w:cs="Times New Roman"/>
          <w:sz w:val="24"/>
          <w:szCs w:val="24"/>
          <w:lang w:val="ru-RU"/>
        </w:rPr>
      </w:pPr>
      <w:r w:rsidRPr="00DD4D0F">
        <w:rPr>
          <w:rFonts w:ascii="Times New Roman" w:eastAsia="Times New Roman" w:hAnsi="Times New Roman" w:cs="Times New Roman"/>
          <w:sz w:val="24"/>
          <w:szCs w:val="24"/>
          <w:lang w:val="ru-RU"/>
        </w:rPr>
        <w:t>В АТО Гагаузия также отмечается уменьшение численности населения — с 122,3 тыс. человек в 2021 году до 113,0 тыс. человек в 2025 году, что соответствует снижению на 7,6%. При этом темпы сокращения населения в регионе остаются несколько ниже среднереспубликанского уровня, что свидетельствует о более умеренной динамике демографического спада по сравнению с общенациональной тенденцией.</w:t>
      </w:r>
    </w:p>
    <w:p w:rsidR="003F5D83"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Доля АТО Гагаузия в общей численности населения страны остаётся практически неизменной и составляет около 4,6–4,8% на протяжении всего анализируемого периода (ри</w:t>
      </w:r>
      <w:r>
        <w:rPr>
          <w:rFonts w:ascii="Times New Roman" w:eastAsia="Times New Roman" w:hAnsi="Times New Roman" w:cs="Times New Roman"/>
          <w:color w:val="000000"/>
          <w:sz w:val="24"/>
          <w:szCs w:val="24"/>
          <w:lang w:val="ru-RU"/>
        </w:rPr>
        <w:t>сунок 2.1</w:t>
      </w:r>
      <w:r w:rsidRPr="00DD4D0F">
        <w:rPr>
          <w:rFonts w:ascii="Times New Roman" w:eastAsia="Times New Roman" w:hAnsi="Times New Roman" w:cs="Times New Roman"/>
          <w:color w:val="000000"/>
          <w:sz w:val="24"/>
          <w:szCs w:val="24"/>
          <w:lang w:val="ru-RU"/>
        </w:rPr>
        <w:t>).</w:t>
      </w:r>
    </w:p>
    <w:p w:rsidR="007451C2"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rsidR="00F55F48" w:rsidRPr="00DD4D0F" w:rsidRDefault="00F55F48" w:rsidP="003F5D83">
      <w:pPr>
        <w:spacing w:after="0" w:line="240" w:lineRule="auto"/>
        <w:ind w:firstLine="709"/>
        <w:jc w:val="both"/>
        <w:rPr>
          <w:rFonts w:ascii="Times New Roman" w:eastAsia="Times New Roman" w:hAnsi="Times New Roman" w:cs="Times New Roman"/>
          <w:color w:val="000000"/>
          <w:sz w:val="24"/>
          <w:szCs w:val="24"/>
          <w:lang w:val="ru-RU"/>
        </w:rPr>
      </w:pPr>
    </w:p>
    <w:p w:rsidR="003F5D83" w:rsidRPr="00F55F48" w:rsidRDefault="003F5D83" w:rsidP="00F55F48">
      <w:pPr>
        <w:spacing w:after="0" w:line="240" w:lineRule="auto"/>
        <w:rPr>
          <w:rFonts w:ascii="Times New Roman" w:hAnsi="Times New Roman" w:cs="Times New Roman"/>
          <w:i/>
          <w:iCs/>
          <w:sz w:val="28"/>
          <w:szCs w:val="28"/>
          <w:lang w:val="ru-RU"/>
        </w:rPr>
      </w:pPr>
      <w:r>
        <w:rPr>
          <w:noProof/>
          <w:lang w:val="ru-RU" w:eastAsia="ru-RU"/>
          <w14:ligatures w14:val="standardContextual"/>
        </w:rPr>
        <w:drawing>
          <wp:inline distT="0" distB="0" distL="0" distR="0" wp14:anchorId="15EB47D2" wp14:editId="7E2EEE12">
            <wp:extent cx="5800725" cy="2022475"/>
            <wp:effectExtent l="0" t="0" r="9525" b="15875"/>
            <wp:docPr id="239264797" name="Диаграмма 1">
              <a:extLst xmlns:a="http://schemas.openxmlformats.org/drawingml/2006/main">
                <a:ext uri="{FF2B5EF4-FFF2-40B4-BE49-F238E27FC236}">
                  <a16:creationId xmlns:a16="http://schemas.microsoft.com/office/drawing/2014/main" id="{AC7F0ACD-4753-CF29-7ADB-0E9A8756E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66609">
        <w:rPr>
          <w:rFonts w:ascii="Times New Roman" w:hAnsi="Times New Roman" w:cs="Times New Roman"/>
          <w:b/>
          <w:bCs/>
          <w:sz w:val="24"/>
          <w:szCs w:val="24"/>
          <w:lang w:val="ru-RU"/>
        </w:rPr>
        <w:t xml:space="preserve">Рисунок. 2.1 Структура населения по регионам развития Республики </w:t>
      </w:r>
      <w:r w:rsidR="000C5E4A" w:rsidRPr="00266609">
        <w:rPr>
          <w:rFonts w:ascii="Times New Roman" w:hAnsi="Times New Roman" w:cs="Times New Roman"/>
          <w:b/>
          <w:bCs/>
          <w:sz w:val="24"/>
          <w:szCs w:val="24"/>
          <w:lang w:val="ru-RU"/>
        </w:rPr>
        <w:t xml:space="preserve">Молдова, </w:t>
      </w:r>
      <w:r w:rsidR="000C5E4A">
        <w:rPr>
          <w:rFonts w:ascii="Times New Roman" w:hAnsi="Times New Roman" w:cs="Times New Roman"/>
          <w:b/>
          <w:bCs/>
          <w:sz w:val="24"/>
          <w:szCs w:val="24"/>
          <w:lang w:val="ro-MD"/>
        </w:rPr>
        <w:t>2025</w:t>
      </w:r>
      <w:r w:rsidRPr="00266609">
        <w:rPr>
          <w:rFonts w:ascii="Times New Roman" w:hAnsi="Times New Roman" w:cs="Times New Roman"/>
          <w:b/>
          <w:bCs/>
          <w:sz w:val="24"/>
          <w:szCs w:val="24"/>
          <w:lang w:val="ru-RU"/>
        </w:rPr>
        <w:t xml:space="preserve"> (</w:t>
      </w:r>
      <w:r w:rsidR="000C5E4A" w:rsidRPr="00266609">
        <w:rPr>
          <w:rFonts w:ascii="Times New Roman" w:hAnsi="Times New Roman" w:cs="Times New Roman"/>
          <w:b/>
          <w:bCs/>
          <w:sz w:val="24"/>
          <w:szCs w:val="24"/>
          <w:lang w:val="ru-RU"/>
        </w:rPr>
        <w:t>%)</w:t>
      </w:r>
      <w:r w:rsidR="000C5E4A">
        <w:rPr>
          <w:rFonts w:ascii="Times New Roman" w:hAnsi="Times New Roman" w:cs="Times New Roman"/>
          <w:i/>
          <w:iCs/>
          <w:sz w:val="28"/>
          <w:szCs w:val="28"/>
          <w:lang w:val="ro-MD"/>
        </w:rPr>
        <w:t xml:space="preserve">, </w:t>
      </w:r>
      <w:r w:rsidR="000C5E4A">
        <w:rPr>
          <w:rFonts w:ascii="Times New Roman" w:hAnsi="Times New Roman" w:cs="Times New Roman"/>
          <w:i/>
          <w:iCs/>
          <w:sz w:val="20"/>
          <w:szCs w:val="20"/>
          <w:lang w:val="ru-RU"/>
        </w:rPr>
        <w:t>Источник</w:t>
      </w:r>
      <w:r w:rsidRPr="00C72B25">
        <w:rPr>
          <w:rFonts w:ascii="Times New Roman" w:hAnsi="Times New Roman" w:cs="Times New Roman"/>
          <w:i/>
          <w:iCs/>
          <w:sz w:val="16"/>
          <w:szCs w:val="16"/>
          <w:lang w:val="ru-RU"/>
        </w:rPr>
        <w:t>: рассчитано АРР</w:t>
      </w:r>
    </w:p>
    <w:p w:rsidR="00F55F48" w:rsidRDefault="00F55F48" w:rsidP="003F5D83">
      <w:pPr>
        <w:spacing w:after="0" w:line="240" w:lineRule="auto"/>
        <w:ind w:firstLine="709"/>
        <w:jc w:val="both"/>
        <w:rPr>
          <w:rFonts w:ascii="Times New Roman" w:eastAsia="Times New Roman" w:hAnsi="Times New Roman" w:cs="Times New Roman"/>
          <w:color w:val="000000"/>
          <w:sz w:val="24"/>
          <w:szCs w:val="24"/>
          <w:lang w:val="ru-RU"/>
        </w:rPr>
      </w:pPr>
    </w:p>
    <w:p w:rsidR="007451C2"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rsidR="003F5D83" w:rsidRPr="00DD4D0F"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В сравнении с другими регионами развития, АТО Гагаузия значительно уступает по численности населения. Так, в 2025 году её население составляет лишь 35,8% от уровня региона Юг, около 18,0% от Северного региона, 17,0% от региона Центр, а также примерно 17,1% от численности населения муниципия Кишинёв.</w:t>
      </w:r>
    </w:p>
    <w:p w:rsidR="003F5D83" w:rsidRPr="00DD4D0F"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При этом сокращение численности населения характерно для всех регионов, однако его масштабы различаются: наиболее значительное снижение по-прежнему наблюдается в Северном и Центральном регионах, тогда как в муниципии Кишинёв численность населения остаётся относительно более стабильной по сравнению с другими регионами.</w:t>
      </w:r>
    </w:p>
    <w:p w:rsidR="003F5D83" w:rsidRPr="00DD4D0F"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На этом фоне АТО Гагаузия сохраняет промежуточное положение, демонстрируя менее выраженный спад по сравнению с рядом регионов, но оставаясь уязвимой к демографическим рискам.</w:t>
      </w:r>
    </w:p>
    <w:p w:rsidR="003F5D83"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DD4D0F">
        <w:rPr>
          <w:rFonts w:ascii="Times New Roman" w:eastAsia="Times New Roman" w:hAnsi="Times New Roman" w:cs="Times New Roman"/>
          <w:color w:val="000000"/>
          <w:sz w:val="24"/>
          <w:szCs w:val="24"/>
          <w:lang w:val="ru-RU"/>
        </w:rPr>
        <w:t>Плотность населения в АТО Гагаузия имеет устойчивую тенденцию к снижению — с 66,2 до 61,1 чел./км² за 2021–2025 гг., что составляет сокращение на 7,7 % (рис</w:t>
      </w:r>
      <w:r>
        <w:rPr>
          <w:rFonts w:ascii="Times New Roman" w:eastAsia="Times New Roman" w:hAnsi="Times New Roman" w:cs="Times New Roman"/>
          <w:color w:val="000000"/>
          <w:sz w:val="24"/>
          <w:szCs w:val="24"/>
          <w:lang w:val="ru-RU"/>
        </w:rPr>
        <w:t>унок 2.2</w:t>
      </w:r>
      <w:r w:rsidRPr="00DA43C6">
        <w:rPr>
          <w:rFonts w:ascii="Times New Roman" w:eastAsia="Times New Roman" w:hAnsi="Times New Roman" w:cs="Times New Roman"/>
          <w:color w:val="000000"/>
          <w:sz w:val="24"/>
          <w:szCs w:val="24"/>
          <w:lang w:val="ru-RU"/>
        </w:rPr>
        <w:t>)</w:t>
      </w:r>
      <w:r w:rsidRPr="00DD4D0F">
        <w:rPr>
          <w:rFonts w:ascii="Times New Roman" w:eastAsia="Times New Roman" w:hAnsi="Times New Roman" w:cs="Times New Roman"/>
          <w:color w:val="000000"/>
          <w:sz w:val="24"/>
          <w:szCs w:val="24"/>
          <w:lang w:val="ru-RU"/>
        </w:rPr>
        <w:t xml:space="preserve">. Данная динамика напрямую обусловлена снижением численности населения региона за аналогичный период. </w:t>
      </w:r>
    </w:p>
    <w:p w:rsidR="00F55F48" w:rsidRDefault="00F55F48" w:rsidP="003F5D83">
      <w:pPr>
        <w:spacing w:after="0" w:line="240" w:lineRule="auto"/>
        <w:ind w:firstLine="709"/>
        <w:jc w:val="both"/>
        <w:rPr>
          <w:rFonts w:ascii="Times New Roman" w:eastAsia="Times New Roman" w:hAnsi="Times New Roman" w:cs="Times New Roman"/>
          <w:color w:val="000000"/>
          <w:sz w:val="24"/>
          <w:szCs w:val="24"/>
          <w:lang w:val="ru-RU"/>
        </w:rPr>
      </w:pPr>
    </w:p>
    <w:p w:rsidR="007451C2" w:rsidRPr="00DD4D0F" w:rsidRDefault="007451C2" w:rsidP="003F5D83">
      <w:pPr>
        <w:spacing w:after="0" w:line="240" w:lineRule="auto"/>
        <w:ind w:firstLine="709"/>
        <w:jc w:val="both"/>
        <w:rPr>
          <w:rFonts w:ascii="Times New Roman" w:eastAsia="Times New Roman" w:hAnsi="Times New Roman" w:cs="Times New Roman"/>
          <w:color w:val="000000"/>
          <w:sz w:val="24"/>
          <w:szCs w:val="24"/>
          <w:lang w:val="ru-RU"/>
        </w:rPr>
      </w:pPr>
    </w:p>
    <w:p w:rsidR="003F5D83" w:rsidRDefault="003F5D83" w:rsidP="00F55F48">
      <w:pPr>
        <w:pStyle w:val="a7"/>
        <w:ind w:firstLine="0"/>
      </w:pPr>
      <w:r>
        <w:rPr>
          <w:noProof/>
          <w14:ligatures w14:val="standardContextual"/>
        </w:rPr>
        <w:lastRenderedPageBreak/>
        <w:drawing>
          <wp:inline distT="0" distB="0" distL="0" distR="0" wp14:anchorId="69701DE0" wp14:editId="0D37059A">
            <wp:extent cx="5962650" cy="2124075"/>
            <wp:effectExtent l="0" t="0" r="0" b="9525"/>
            <wp:docPr id="1446235244" name="Диаграмма 1">
              <a:extLst xmlns:a="http://schemas.openxmlformats.org/drawingml/2006/main">
                <a:ext uri="{FF2B5EF4-FFF2-40B4-BE49-F238E27FC236}">
                  <a16:creationId xmlns:a16="http://schemas.microsoft.com/office/drawing/2014/main" id="{82DFC3CE-44C5-A628-9299-C33D553BC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5D83" w:rsidRPr="006E6990" w:rsidRDefault="003F5D83" w:rsidP="00F55F48">
      <w:pPr>
        <w:pStyle w:val="a7"/>
        <w:ind w:firstLine="0"/>
        <w:rPr>
          <w:b/>
          <w:bCs/>
        </w:rPr>
      </w:pPr>
      <w:r w:rsidRPr="006E6990">
        <w:rPr>
          <w:b/>
          <w:bCs/>
        </w:rPr>
        <w:t>Рис</w:t>
      </w:r>
      <w:r>
        <w:rPr>
          <w:b/>
          <w:bCs/>
        </w:rPr>
        <w:t>унок 2.2</w:t>
      </w:r>
      <w:r w:rsidRPr="006E6990">
        <w:rPr>
          <w:b/>
          <w:bCs/>
        </w:rPr>
        <w:t xml:space="preserve"> Динамика плотности населения АТО Гагаузия, </w:t>
      </w:r>
      <w:r>
        <w:rPr>
          <w:b/>
          <w:bCs/>
        </w:rPr>
        <w:t>2021-2025</w:t>
      </w:r>
      <w:r w:rsidRPr="006E6990">
        <w:rPr>
          <w:b/>
          <w:bCs/>
        </w:rPr>
        <w:t xml:space="preserve"> гг., чел./км²</w:t>
      </w:r>
    </w:p>
    <w:p w:rsidR="003F5D83" w:rsidRPr="00266609" w:rsidRDefault="003F5D83" w:rsidP="003F5D83">
      <w:pPr>
        <w:spacing w:after="0" w:line="240" w:lineRule="auto"/>
        <w:ind w:left="709"/>
        <w:rPr>
          <w:rFonts w:ascii="Times New Roman" w:hAnsi="Times New Roman" w:cs="Times New Roman"/>
          <w:i/>
          <w:iCs/>
          <w:sz w:val="16"/>
          <w:szCs w:val="16"/>
          <w:lang w:val="ru-RU"/>
        </w:rPr>
      </w:pPr>
      <w:r w:rsidRPr="00266609">
        <w:rPr>
          <w:rFonts w:ascii="Times New Roman" w:hAnsi="Times New Roman" w:cs="Times New Roman"/>
          <w:i/>
          <w:iCs/>
          <w:sz w:val="16"/>
          <w:szCs w:val="16"/>
          <w:lang w:val="ru-RU"/>
        </w:rPr>
        <w:t xml:space="preserve">Источник: рассчитано АРР </w:t>
      </w:r>
    </w:p>
    <w:p w:rsidR="003F5D83" w:rsidRDefault="003F5D83" w:rsidP="003F5D83">
      <w:pPr>
        <w:spacing w:after="0" w:line="240" w:lineRule="auto"/>
        <w:ind w:firstLine="567"/>
        <w:jc w:val="both"/>
        <w:rPr>
          <w:rFonts w:ascii="Times New Roman" w:hAnsi="Times New Roman" w:cs="Times New Roman"/>
          <w:lang w:val="ru-RU"/>
        </w:rPr>
      </w:pPr>
    </w:p>
    <w:p w:rsidR="007451C2" w:rsidRDefault="007451C2" w:rsidP="003F5D83">
      <w:pPr>
        <w:spacing w:after="0" w:line="240" w:lineRule="auto"/>
        <w:ind w:firstLine="567"/>
        <w:jc w:val="both"/>
        <w:rPr>
          <w:rFonts w:ascii="Times New Roman" w:hAnsi="Times New Roman" w:cs="Times New Roman"/>
          <w:lang w:val="ru-RU"/>
        </w:rPr>
      </w:pPr>
    </w:p>
    <w:p w:rsidR="003F5D83" w:rsidRDefault="003F5D83" w:rsidP="003F5D83">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i/>
          <w:iCs/>
          <w:color w:val="000000"/>
          <w:sz w:val="24"/>
          <w:szCs w:val="24"/>
          <w:lang w:val="ru-RU"/>
        </w:rPr>
        <w:t>Уровень экономического развития региона. </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03094">
        <w:rPr>
          <w:rFonts w:ascii="Times New Roman" w:eastAsia="Times New Roman" w:hAnsi="Times New Roman" w:cs="Times New Roman"/>
          <w:b/>
          <w:bCs/>
          <w:color w:val="000000"/>
          <w:sz w:val="24"/>
          <w:szCs w:val="24"/>
          <w:lang w:val="ru-RU"/>
        </w:rPr>
        <w:t>Региональный валовой внутренний продукт</w:t>
      </w:r>
      <w:r>
        <w:rPr>
          <w:rFonts w:ascii="Times New Roman" w:eastAsia="Times New Roman" w:hAnsi="Times New Roman" w:cs="Times New Roman"/>
          <w:b/>
          <w:bCs/>
          <w:color w:val="000000"/>
          <w:sz w:val="24"/>
          <w:szCs w:val="24"/>
          <w:lang w:val="ru-RU"/>
        </w:rPr>
        <w:t>.</w:t>
      </w:r>
      <w:r>
        <w:rPr>
          <w:rFonts w:ascii="Times New Roman" w:eastAsia="Times New Roman" w:hAnsi="Times New Roman" w:cs="Times New Roman"/>
          <w:color w:val="000000"/>
          <w:sz w:val="24"/>
          <w:szCs w:val="24"/>
          <w:lang w:val="ru-RU"/>
        </w:rPr>
        <w:t xml:space="preserve"> </w:t>
      </w:r>
      <w:r w:rsidRPr="00E4197D">
        <w:rPr>
          <w:rFonts w:ascii="Times New Roman" w:hAnsi="Times New Roman" w:cs="Times New Roman"/>
          <w:kern w:val="2"/>
          <w:sz w:val="24"/>
          <w:szCs w:val="24"/>
          <w:lang w:val="ru-RU"/>
          <w14:ligatures w14:val="standardContextual"/>
        </w:rPr>
        <w:t>Одним из ключевых показателей экономического развития региона является региональный валовой внутренний продукт (РВВП), который отражает масштабы экономической активности и позволяет оценить вклад региона в национальную экономику (таб</w:t>
      </w:r>
      <w:r>
        <w:rPr>
          <w:rFonts w:ascii="Times New Roman" w:hAnsi="Times New Roman" w:cs="Times New Roman"/>
          <w:kern w:val="2"/>
          <w:sz w:val="24"/>
          <w:szCs w:val="24"/>
          <w:lang w:val="ru-RU"/>
          <w14:ligatures w14:val="standardContextual"/>
        </w:rPr>
        <w:t>лица 2.2</w:t>
      </w:r>
      <w:r w:rsidRPr="00E4197D">
        <w:rPr>
          <w:rFonts w:ascii="Times New Roman" w:hAnsi="Times New Roman" w:cs="Times New Roman"/>
          <w:kern w:val="2"/>
          <w:sz w:val="24"/>
          <w:szCs w:val="24"/>
          <w:lang w:val="ru-RU"/>
          <w14:ligatures w14:val="standardContextual"/>
        </w:rPr>
        <w:t>).</w:t>
      </w:r>
    </w:p>
    <w:p w:rsidR="00F55F48" w:rsidRPr="0093474A" w:rsidRDefault="00F55F48"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2.2.</w:t>
      </w:r>
      <w:r w:rsidRPr="00E4197D">
        <w:rPr>
          <w:rFonts w:ascii="Times New Roman" w:hAnsi="Times New Roman" w:cs="Times New Roman"/>
          <w:b/>
          <w:bCs/>
          <w:kern w:val="2"/>
          <w:sz w:val="24"/>
          <w:szCs w:val="24"/>
          <w:lang w:val="ru-RU"/>
          <w14:ligatures w14:val="standardContextual"/>
        </w:rPr>
        <w:t xml:space="preserve"> Динамика РВВП по регионам развития Республики Молдова, 2019–2023 гг., млрд. леев</w:t>
      </w:r>
    </w:p>
    <w:p w:rsidR="007451C2" w:rsidRPr="00E4197D" w:rsidRDefault="007451C2"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244"/>
        <w:gridCol w:w="1245"/>
        <w:gridCol w:w="1245"/>
        <w:gridCol w:w="1245"/>
        <w:gridCol w:w="1245"/>
      </w:tblGrid>
      <w:tr w:rsidR="003F5D83" w:rsidRPr="00E4197D" w:rsidTr="00F55F48">
        <w:trPr>
          <w:trHeight w:val="299"/>
        </w:trPr>
        <w:tc>
          <w:tcPr>
            <w:tcW w:w="0" w:type="auto"/>
            <w:hideMark/>
          </w:tcPr>
          <w:p w:rsidR="003F5D83" w:rsidRPr="00E4197D" w:rsidRDefault="003F5D83" w:rsidP="003F5D83">
            <w:pPr>
              <w:jc w:val="both"/>
              <w:rPr>
                <w:rFonts w:ascii="Times New Roman" w:hAnsi="Times New Roman" w:cs="Times New Roman"/>
                <w:b/>
                <w:bCs/>
                <w:kern w:val="2"/>
                <w:sz w:val="24"/>
                <w:szCs w:val="24"/>
                <w14:ligatures w14:val="standardContextual"/>
              </w:rPr>
            </w:pPr>
            <w:proofErr w:type="spellStart"/>
            <w:r w:rsidRPr="00E4197D">
              <w:rPr>
                <w:rFonts w:ascii="Times New Roman" w:hAnsi="Times New Roman" w:cs="Times New Roman"/>
                <w:b/>
                <w:bCs/>
                <w:kern w:val="2"/>
                <w:sz w:val="24"/>
                <w:szCs w:val="24"/>
                <w14:ligatures w14:val="standardContextual"/>
              </w:rPr>
              <w:t>Регион</w:t>
            </w:r>
            <w:proofErr w:type="spellEnd"/>
          </w:p>
        </w:tc>
        <w:tc>
          <w:tcPr>
            <w:tcW w:w="0" w:type="auto"/>
            <w:vAlign w:val="center"/>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2019</w:t>
            </w:r>
          </w:p>
        </w:tc>
        <w:tc>
          <w:tcPr>
            <w:tcW w:w="0" w:type="auto"/>
            <w:vAlign w:val="center"/>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2020</w:t>
            </w:r>
          </w:p>
        </w:tc>
        <w:tc>
          <w:tcPr>
            <w:tcW w:w="0" w:type="auto"/>
            <w:vAlign w:val="center"/>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2021</w:t>
            </w:r>
          </w:p>
        </w:tc>
        <w:tc>
          <w:tcPr>
            <w:tcW w:w="0" w:type="auto"/>
            <w:vAlign w:val="center"/>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2022</w:t>
            </w:r>
          </w:p>
        </w:tc>
        <w:tc>
          <w:tcPr>
            <w:tcW w:w="0" w:type="auto"/>
            <w:vAlign w:val="center"/>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2023</w:t>
            </w:r>
          </w:p>
        </w:tc>
      </w:tr>
      <w:tr w:rsidR="003F5D83" w:rsidRPr="00E4197D" w:rsidTr="00F55F48">
        <w:trPr>
          <w:trHeight w:val="299"/>
        </w:trPr>
        <w:tc>
          <w:tcPr>
            <w:tcW w:w="0" w:type="auto"/>
            <w:hideMark/>
          </w:tcPr>
          <w:p w:rsidR="003F5D83" w:rsidRPr="00E4197D" w:rsidRDefault="003F5D83" w:rsidP="003F5D83">
            <w:pPr>
              <w:jc w:val="both"/>
              <w:rPr>
                <w:rFonts w:ascii="Times New Roman" w:hAnsi="Times New Roman" w:cs="Times New Roman"/>
                <w:kern w:val="2"/>
                <w:sz w:val="24"/>
                <w:szCs w:val="24"/>
                <w:lang w:val="ru-RU"/>
                <w14:ligatures w14:val="standardContextual"/>
              </w:rPr>
            </w:pPr>
            <w:proofErr w:type="spellStart"/>
            <w:r w:rsidRPr="00E4197D">
              <w:rPr>
                <w:rFonts w:ascii="Times New Roman" w:hAnsi="Times New Roman" w:cs="Times New Roman"/>
                <w:kern w:val="2"/>
                <w:sz w:val="24"/>
                <w:szCs w:val="24"/>
                <w14:ligatures w14:val="standardContextual"/>
              </w:rPr>
              <w:t>Всего</w:t>
            </w:r>
            <w:proofErr w:type="spellEnd"/>
            <w:r w:rsidRPr="00E4197D">
              <w:rPr>
                <w:rFonts w:ascii="Times New Roman" w:hAnsi="Times New Roman" w:cs="Times New Roman"/>
                <w:kern w:val="2"/>
                <w:sz w:val="24"/>
                <w:szCs w:val="24"/>
                <w:lang w:val="ru-RU"/>
                <w14:ligatures w14:val="standardContextual"/>
              </w:rPr>
              <w:t xml:space="preserve"> в стране</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206,3</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199,7</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242,1</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274,5</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303,6</w:t>
            </w:r>
          </w:p>
        </w:tc>
      </w:tr>
      <w:tr w:rsidR="003F5D83" w:rsidRPr="00E4197D" w:rsidTr="00F55F48">
        <w:trPr>
          <w:trHeight w:val="307"/>
        </w:trPr>
        <w:tc>
          <w:tcPr>
            <w:tcW w:w="0" w:type="auto"/>
            <w:hideMark/>
          </w:tcPr>
          <w:p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00C23FF1" w:rsidRPr="00E4197D">
              <w:rPr>
                <w:rFonts w:ascii="Times New Roman" w:hAnsi="Times New Roman" w:cs="Times New Roman"/>
                <w:kern w:val="2"/>
                <w:sz w:val="24"/>
                <w:szCs w:val="24"/>
                <w14:ligatures w14:val="standardContextual"/>
              </w:rPr>
              <w:t>Кишинёв</w:t>
            </w:r>
            <w:proofErr w:type="spellEnd"/>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124,2</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119,9</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146,2</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171,2</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185,8</w:t>
            </w:r>
          </w:p>
        </w:tc>
      </w:tr>
      <w:tr w:rsidR="003F5D83" w:rsidRPr="00E4197D" w:rsidTr="00F55F48">
        <w:trPr>
          <w:trHeight w:val="299"/>
        </w:trPr>
        <w:tc>
          <w:tcPr>
            <w:tcW w:w="0" w:type="auto"/>
            <w:hideMark/>
          </w:tcPr>
          <w:p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Север</w:t>
            </w:r>
            <w:proofErr w:type="spellEnd"/>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32,6</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31,5</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37,1</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39,5</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45,3</w:t>
            </w:r>
          </w:p>
        </w:tc>
      </w:tr>
      <w:tr w:rsidR="003F5D83" w:rsidRPr="00E4197D" w:rsidTr="00F55F48">
        <w:trPr>
          <w:trHeight w:val="299"/>
        </w:trPr>
        <w:tc>
          <w:tcPr>
            <w:tcW w:w="0" w:type="auto"/>
            <w:hideMark/>
          </w:tcPr>
          <w:p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Центр</w:t>
            </w:r>
            <w:proofErr w:type="spellEnd"/>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30,6</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30,0</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36,4</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40,0</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45,5</w:t>
            </w:r>
          </w:p>
        </w:tc>
      </w:tr>
      <w:tr w:rsidR="003F5D83" w:rsidRPr="00E4197D" w:rsidTr="00F55F48">
        <w:trPr>
          <w:trHeight w:val="299"/>
        </w:trPr>
        <w:tc>
          <w:tcPr>
            <w:tcW w:w="0" w:type="auto"/>
            <w:hideMark/>
          </w:tcPr>
          <w:p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Юг</w:t>
            </w:r>
            <w:proofErr w:type="spellEnd"/>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14,1</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13,7</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16,8</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17,6</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19,8</w:t>
            </w:r>
          </w:p>
        </w:tc>
      </w:tr>
      <w:tr w:rsidR="003F5D83" w:rsidRPr="00E4197D" w:rsidTr="00F55F48">
        <w:trPr>
          <w:trHeight w:val="299"/>
        </w:trPr>
        <w:tc>
          <w:tcPr>
            <w:tcW w:w="0" w:type="auto"/>
            <w:hideMark/>
          </w:tcPr>
          <w:p w:rsidR="003F5D83" w:rsidRPr="00E4197D" w:rsidRDefault="003F5D83" w:rsidP="003F5D83">
            <w:pPr>
              <w:jc w:val="both"/>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АТО </w:t>
            </w:r>
            <w:proofErr w:type="spellStart"/>
            <w:r w:rsidRPr="00E4197D">
              <w:rPr>
                <w:rFonts w:ascii="Times New Roman" w:hAnsi="Times New Roman" w:cs="Times New Roman"/>
                <w:kern w:val="2"/>
                <w:sz w:val="24"/>
                <w:szCs w:val="24"/>
                <w14:ligatures w14:val="standardContextual"/>
              </w:rPr>
              <w:t>Гагаузия</w:t>
            </w:r>
            <w:proofErr w:type="spellEnd"/>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4,8</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4,6</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5,6</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6,2</w:t>
            </w:r>
          </w:p>
        </w:tc>
        <w:tc>
          <w:tcPr>
            <w:tcW w:w="0" w:type="auto"/>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7,2</w:t>
            </w:r>
          </w:p>
        </w:tc>
      </w:tr>
    </w:tbl>
    <w:p w:rsidR="003F5D83" w:rsidRPr="00423BEE"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423BEE">
        <w:rPr>
          <w:rFonts w:ascii="Times New Roman" w:hAnsi="Times New Roman" w:cs="Times New Roman"/>
          <w:i/>
          <w:iCs/>
          <w:kern w:val="2"/>
          <w:sz w:val="16"/>
          <w:szCs w:val="16"/>
          <w14:ligatures w14:val="standardContextual"/>
        </w:rPr>
        <w:t>Источник</w:t>
      </w:r>
      <w:proofErr w:type="spellEnd"/>
      <w:r w:rsidRPr="00423BEE">
        <w:rPr>
          <w:rFonts w:ascii="Times New Roman" w:hAnsi="Times New Roman" w:cs="Times New Roman"/>
          <w:i/>
          <w:iCs/>
          <w:kern w:val="2"/>
          <w:sz w:val="16"/>
          <w:szCs w:val="16"/>
          <w14:ligatures w14:val="standardContextual"/>
        </w:rPr>
        <w:t xml:space="preserve">:  Banca de date </w:t>
      </w:r>
      <w:proofErr w:type="spellStart"/>
      <w:r w:rsidRPr="00423BEE">
        <w:rPr>
          <w:rFonts w:ascii="Times New Roman" w:hAnsi="Times New Roman" w:cs="Times New Roman"/>
          <w:i/>
          <w:iCs/>
          <w:kern w:val="2"/>
          <w:sz w:val="16"/>
          <w:szCs w:val="16"/>
          <w14:ligatures w14:val="standardContextual"/>
        </w:rPr>
        <w:t>statistică</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StatBank</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Produsul</w:t>
      </w:r>
      <w:proofErr w:type="spellEnd"/>
      <w:r w:rsidRPr="00423BEE">
        <w:rPr>
          <w:rFonts w:ascii="Times New Roman" w:hAnsi="Times New Roman" w:cs="Times New Roman"/>
          <w:i/>
          <w:iCs/>
          <w:kern w:val="2"/>
          <w:sz w:val="16"/>
          <w:szCs w:val="16"/>
          <w14:ligatures w14:val="standardContextual"/>
        </w:rPr>
        <w:t xml:space="preserve"> intern brut regional pe </w:t>
      </w:r>
      <w:proofErr w:type="spellStart"/>
      <w:r w:rsidRPr="00423BEE">
        <w:rPr>
          <w:rFonts w:ascii="Times New Roman" w:hAnsi="Times New Roman" w:cs="Times New Roman"/>
          <w:i/>
          <w:iCs/>
          <w:kern w:val="2"/>
          <w:sz w:val="16"/>
          <w:szCs w:val="16"/>
          <w14:ligatures w14:val="standardContextual"/>
        </w:rPr>
        <w:t>activități</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economice</w:t>
      </w:r>
      <w:proofErr w:type="spellEnd"/>
      <w:r w:rsidRPr="00423BEE">
        <w:rPr>
          <w:rFonts w:ascii="Times New Roman" w:hAnsi="Times New Roman" w:cs="Times New Roman"/>
          <w:i/>
          <w:iCs/>
          <w:kern w:val="2"/>
          <w:sz w:val="16"/>
          <w:szCs w:val="16"/>
          <w14:ligatures w14:val="standardContextual"/>
        </w:rPr>
        <w:t>, mii lei, 2019–2023 [</w:t>
      </w:r>
      <w:proofErr w:type="spellStart"/>
      <w:r w:rsidRPr="00423BEE">
        <w:rPr>
          <w:rFonts w:ascii="Times New Roman" w:hAnsi="Times New Roman" w:cs="Times New Roman"/>
          <w:i/>
          <w:iCs/>
          <w:kern w:val="2"/>
          <w:sz w:val="16"/>
          <w:szCs w:val="16"/>
          <w14:ligatures w14:val="standardContextual"/>
        </w:rPr>
        <w:t>resursă</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electronică</w:t>
      </w:r>
      <w:proofErr w:type="spellEnd"/>
      <w:r w:rsidRPr="00423BEE">
        <w:rPr>
          <w:rFonts w:ascii="Times New Roman" w:hAnsi="Times New Roman" w:cs="Times New Roman"/>
          <w:i/>
          <w:iCs/>
          <w:kern w:val="2"/>
          <w:sz w:val="16"/>
          <w:szCs w:val="16"/>
          <w14:ligatures w14:val="standardContextual"/>
        </w:rPr>
        <w:t xml:space="preserve">]. – </w:t>
      </w:r>
      <w:proofErr w:type="spellStart"/>
      <w:r w:rsidRPr="00423BEE">
        <w:rPr>
          <w:rFonts w:ascii="Times New Roman" w:hAnsi="Times New Roman" w:cs="Times New Roman"/>
          <w:i/>
          <w:iCs/>
          <w:kern w:val="2"/>
          <w:sz w:val="16"/>
          <w:szCs w:val="16"/>
          <w14:ligatures w14:val="standardContextual"/>
        </w:rPr>
        <w:t>Disponibil</w:t>
      </w:r>
      <w:proofErr w:type="spellEnd"/>
      <w:r w:rsidRPr="00423BEE">
        <w:rPr>
          <w:rFonts w:ascii="Times New Roman" w:hAnsi="Times New Roman" w:cs="Times New Roman"/>
          <w:i/>
          <w:iCs/>
          <w:kern w:val="2"/>
          <w:sz w:val="16"/>
          <w:szCs w:val="16"/>
          <w14:ligatures w14:val="standardContextual"/>
        </w:rPr>
        <w:t xml:space="preserve">: </w:t>
      </w:r>
      <w:hyperlink r:id="rId14" w:tgtFrame="_new" w:history="1">
        <w:proofErr w:type="spellStart"/>
        <w:r w:rsidRPr="00423BEE">
          <w:rPr>
            <w:rFonts w:ascii="Times New Roman" w:hAnsi="Times New Roman" w:cs="Times New Roman"/>
            <w:i/>
            <w:iCs/>
            <w:color w:val="0563C1" w:themeColor="hyperlink"/>
            <w:kern w:val="2"/>
            <w:sz w:val="16"/>
            <w:szCs w:val="16"/>
            <w:u w:val="single"/>
            <w14:ligatures w14:val="standardContextual"/>
          </w:rPr>
          <w:t>StatBank</w:t>
        </w:r>
        <w:proofErr w:type="spellEnd"/>
        <w:r w:rsidRPr="00423BEE">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423BEE">
          <w:rPr>
            <w:rFonts w:ascii="Times New Roman" w:hAnsi="Times New Roman" w:cs="Times New Roman"/>
            <w:i/>
            <w:iCs/>
            <w:color w:val="0563C1" w:themeColor="hyperlink"/>
            <w:kern w:val="2"/>
            <w:sz w:val="16"/>
            <w:szCs w:val="16"/>
            <w:u w:val="single"/>
            <w14:ligatures w14:val="standardContextual"/>
          </w:rPr>
          <w:t>tabel</w:t>
        </w:r>
        <w:proofErr w:type="spellEnd"/>
      </w:hyperlink>
    </w:p>
    <w:p w:rsidR="003F5D83" w:rsidRPr="00423BEE"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423BEE">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423BEE">
        <w:rPr>
          <w:rFonts w:ascii="Times New Roman" w:hAnsi="Times New Roman" w:cs="Times New Roman"/>
          <w:i/>
          <w:iCs/>
          <w:kern w:val="2"/>
          <w:sz w:val="16"/>
          <w:szCs w:val="16"/>
          <w14:ligatures w14:val="standardContextual"/>
        </w:rPr>
        <w:t>StatBank</w:t>
      </w:r>
      <w:proofErr w:type="spellEnd"/>
      <w:r w:rsidRPr="00423BEE">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rsidR="00F55F48" w:rsidRDefault="00F55F48" w:rsidP="003F5D83">
      <w:pPr>
        <w:spacing w:after="0" w:line="240" w:lineRule="auto"/>
        <w:ind w:firstLine="709"/>
        <w:jc w:val="both"/>
        <w:rPr>
          <w:rFonts w:ascii="Times New Roman" w:eastAsia="Times New Roman" w:hAnsi="Times New Roman" w:cs="Times New Roman"/>
          <w:sz w:val="24"/>
          <w:szCs w:val="24"/>
          <w:lang w:val="ru-RU"/>
        </w:rPr>
      </w:pPr>
    </w:p>
    <w:p w:rsidR="003F5D83" w:rsidRPr="00E4197D" w:rsidRDefault="003F5D83" w:rsidP="003F5D83">
      <w:pPr>
        <w:spacing w:after="0" w:line="240" w:lineRule="auto"/>
        <w:ind w:firstLine="709"/>
        <w:jc w:val="both"/>
        <w:rPr>
          <w:rFonts w:ascii="Times New Roman" w:eastAsia="Times New Roman" w:hAnsi="Times New Roman" w:cs="Times New Roman"/>
          <w:sz w:val="24"/>
          <w:szCs w:val="24"/>
          <w:lang w:val="ru-RU"/>
        </w:rPr>
      </w:pPr>
      <w:r w:rsidRPr="00E4197D">
        <w:rPr>
          <w:rFonts w:ascii="Times New Roman" w:eastAsia="Times New Roman" w:hAnsi="Times New Roman" w:cs="Times New Roman"/>
          <w:sz w:val="24"/>
          <w:szCs w:val="24"/>
          <w:lang w:val="ru-RU"/>
        </w:rPr>
        <w:t xml:space="preserve">Анализ динамики РВВП за 2019–2023 гг. свидетельствует о росте экономической активности во всех регионах развития Республики Молдова. В целом по стране ВВП увеличился с </w:t>
      </w:r>
      <w:r w:rsidRPr="00E4197D">
        <w:rPr>
          <w:rFonts w:ascii="Times New Roman" w:eastAsiaTheme="majorEastAsia" w:hAnsi="Times New Roman" w:cs="Times New Roman"/>
          <w:sz w:val="24"/>
          <w:szCs w:val="24"/>
          <w:lang w:val="ru-RU"/>
        </w:rPr>
        <w:t>206,3 млрд леев в 2019 году до 303,6 млрд леев в 2023 году</w:t>
      </w:r>
      <w:r w:rsidRPr="00E4197D">
        <w:rPr>
          <w:rFonts w:ascii="Times New Roman" w:eastAsia="Times New Roman" w:hAnsi="Times New Roman" w:cs="Times New Roman"/>
          <w:sz w:val="24"/>
          <w:szCs w:val="24"/>
          <w:lang w:val="ru-RU"/>
        </w:rPr>
        <w:t xml:space="preserve">, что составляет рост на </w:t>
      </w:r>
      <w:r w:rsidRPr="00E4197D">
        <w:rPr>
          <w:rFonts w:ascii="Times New Roman" w:eastAsiaTheme="majorEastAsia" w:hAnsi="Times New Roman" w:cs="Times New Roman"/>
          <w:sz w:val="24"/>
          <w:szCs w:val="24"/>
          <w:lang w:val="ru-RU"/>
        </w:rPr>
        <w:t>47,2%</w:t>
      </w:r>
      <w:r w:rsidRPr="00E4197D">
        <w:rPr>
          <w:rFonts w:ascii="Times New Roman" w:eastAsia="Times New Roman" w:hAnsi="Times New Roman" w:cs="Times New Roman"/>
          <w:sz w:val="24"/>
          <w:szCs w:val="24"/>
          <w:lang w:val="ru-RU"/>
        </w:rPr>
        <w:t xml:space="preserve">. В АТО Гагаузия также наблюдается положительная динамика: объем РВВП увеличился с </w:t>
      </w:r>
      <w:r w:rsidRPr="00E4197D">
        <w:rPr>
          <w:rFonts w:ascii="Times New Roman" w:eastAsiaTheme="majorEastAsia" w:hAnsi="Times New Roman" w:cs="Times New Roman"/>
          <w:sz w:val="24"/>
          <w:szCs w:val="24"/>
          <w:lang w:val="ru-RU"/>
        </w:rPr>
        <w:t>4,8 млрд леев до 7,2 млрд леев</w:t>
      </w:r>
      <w:r w:rsidRPr="00E4197D">
        <w:rPr>
          <w:rFonts w:ascii="Times New Roman" w:eastAsia="Times New Roman" w:hAnsi="Times New Roman" w:cs="Times New Roman"/>
          <w:sz w:val="24"/>
          <w:szCs w:val="24"/>
          <w:lang w:val="ru-RU"/>
        </w:rPr>
        <w:t xml:space="preserve">, что соответствует росту на </w:t>
      </w:r>
      <w:r w:rsidRPr="00E4197D">
        <w:rPr>
          <w:rFonts w:ascii="Times New Roman" w:eastAsiaTheme="majorEastAsia" w:hAnsi="Times New Roman" w:cs="Times New Roman"/>
          <w:sz w:val="24"/>
          <w:szCs w:val="24"/>
          <w:lang w:val="ru-RU"/>
        </w:rPr>
        <w:t>49,0%</w:t>
      </w:r>
      <w:r w:rsidRPr="00E4197D">
        <w:rPr>
          <w:rFonts w:ascii="Times New Roman" w:eastAsia="Times New Roman" w:hAnsi="Times New Roman" w:cs="Times New Roman"/>
          <w:sz w:val="24"/>
          <w:szCs w:val="24"/>
          <w:lang w:val="ru-RU"/>
        </w:rPr>
        <w:t xml:space="preserve">, т.е. несколько превышает среднереспубликанские темпы. </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Удельный вес </w:t>
      </w:r>
      <w:r w:rsidRPr="00E4197D">
        <w:rPr>
          <w:rFonts w:ascii="Times New Roman" w:eastAsia="Times New Roman" w:hAnsi="Times New Roman" w:cs="Times New Roman"/>
          <w:sz w:val="24"/>
          <w:szCs w:val="24"/>
          <w:lang w:val="ru-RU"/>
        </w:rPr>
        <w:t>РВВП по регионам развития позволяет определить распределение экономической активности в стране (</w:t>
      </w:r>
      <w:r w:rsidRPr="007A4CE3">
        <w:rPr>
          <w:rFonts w:ascii="Times New Roman" w:eastAsia="Times New Roman" w:hAnsi="Times New Roman" w:cs="Times New Roman"/>
          <w:sz w:val="24"/>
          <w:szCs w:val="24"/>
          <w:lang w:val="ru-RU"/>
        </w:rPr>
        <w:t>таблица 2.3).</w:t>
      </w:r>
    </w:p>
    <w:p w:rsidR="00F55F48" w:rsidRDefault="00F55F48" w:rsidP="003F5D83">
      <w:pPr>
        <w:spacing w:after="0" w:line="240" w:lineRule="auto"/>
        <w:ind w:firstLine="709"/>
        <w:jc w:val="both"/>
        <w:rPr>
          <w:rFonts w:ascii="Times New Roman" w:eastAsia="Times New Roman" w:hAnsi="Times New Roman" w:cs="Times New Roman"/>
          <w:sz w:val="24"/>
          <w:szCs w:val="24"/>
          <w:lang w:val="ru-RU"/>
        </w:rPr>
      </w:pPr>
    </w:p>
    <w:p w:rsidR="007451C2" w:rsidRDefault="007451C2" w:rsidP="003F5D83">
      <w:pPr>
        <w:spacing w:after="0" w:line="240" w:lineRule="auto"/>
        <w:ind w:firstLine="709"/>
        <w:jc w:val="both"/>
        <w:rPr>
          <w:rFonts w:ascii="Times New Roman" w:eastAsia="Times New Roman" w:hAnsi="Times New Roman" w:cs="Times New Roman"/>
          <w:sz w:val="24"/>
          <w:szCs w:val="24"/>
          <w:lang w:val="ru-RU"/>
        </w:rPr>
      </w:pPr>
    </w:p>
    <w:p w:rsidR="00346506" w:rsidRDefault="00346506" w:rsidP="003F5D83">
      <w:pPr>
        <w:spacing w:after="0" w:line="240" w:lineRule="auto"/>
        <w:ind w:firstLine="709"/>
        <w:jc w:val="both"/>
        <w:rPr>
          <w:rFonts w:ascii="Times New Roman" w:eastAsia="Times New Roman" w:hAnsi="Times New Roman" w:cs="Times New Roman"/>
          <w:sz w:val="24"/>
          <w:szCs w:val="24"/>
          <w:lang w:val="ru-RU"/>
        </w:rPr>
      </w:pPr>
    </w:p>
    <w:p w:rsidR="007451C2" w:rsidRPr="00E4197D" w:rsidRDefault="007451C2" w:rsidP="003F5D83">
      <w:pPr>
        <w:spacing w:after="0" w:line="240" w:lineRule="auto"/>
        <w:ind w:firstLine="709"/>
        <w:jc w:val="both"/>
        <w:rPr>
          <w:rFonts w:ascii="Times New Roman" w:eastAsia="Times New Roman" w:hAnsi="Times New Roman" w:cs="Times New Roman"/>
          <w:sz w:val="24"/>
          <w:szCs w:val="24"/>
          <w:lang w:val="ru-RU"/>
        </w:rPr>
      </w:pPr>
    </w:p>
    <w:p w:rsidR="003F5D83" w:rsidRDefault="003F5D83" w:rsidP="003F5D83">
      <w:pPr>
        <w:spacing w:after="0" w:line="240" w:lineRule="auto"/>
        <w:jc w:val="center"/>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b/>
          <w:bCs/>
          <w:kern w:val="2"/>
          <w:sz w:val="23"/>
          <w:szCs w:val="23"/>
          <w:lang w:val="ru-RU"/>
          <w14:ligatures w14:val="standardContextual"/>
        </w:rPr>
        <w:lastRenderedPageBreak/>
        <w:t>Таблиц</w:t>
      </w:r>
      <w:r>
        <w:rPr>
          <w:rFonts w:ascii="Times New Roman" w:hAnsi="Times New Roman" w:cs="Times New Roman"/>
          <w:b/>
          <w:bCs/>
          <w:kern w:val="2"/>
          <w:sz w:val="23"/>
          <w:szCs w:val="23"/>
          <w:lang w:val="ru-RU"/>
          <w14:ligatures w14:val="standardContextual"/>
        </w:rPr>
        <w:t>а 2.3. Доля</w:t>
      </w:r>
      <w:r w:rsidRPr="00E4197D">
        <w:rPr>
          <w:rFonts w:ascii="Times New Roman" w:hAnsi="Times New Roman" w:cs="Times New Roman"/>
          <w:b/>
          <w:bCs/>
          <w:kern w:val="2"/>
          <w:sz w:val="23"/>
          <w:szCs w:val="23"/>
          <w:lang w:val="ru-RU"/>
          <w14:ligatures w14:val="standardContextual"/>
        </w:rPr>
        <w:t xml:space="preserve"> РВВП по регионам развития Республики Молдова, 2019–2023 гг., %</w:t>
      </w:r>
    </w:p>
    <w:p w:rsidR="007451C2" w:rsidRPr="00E4197D" w:rsidRDefault="007451C2" w:rsidP="003F5D83">
      <w:pPr>
        <w:spacing w:after="0" w:line="240" w:lineRule="auto"/>
        <w:jc w:val="center"/>
        <w:rPr>
          <w:rFonts w:ascii="Times New Roman" w:hAnsi="Times New Roman" w:cs="Times New Roman"/>
          <w:b/>
          <w:bCs/>
          <w:kern w:val="2"/>
          <w:sz w:val="23"/>
          <w:szCs w:val="23"/>
          <w:lang w:val="ru-RU"/>
          <w14:ligatures w14:val="standardContextual"/>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216"/>
        <w:gridCol w:w="1215"/>
        <w:gridCol w:w="1215"/>
        <w:gridCol w:w="1215"/>
        <w:gridCol w:w="1215"/>
      </w:tblGrid>
      <w:tr w:rsidR="003F5D83" w:rsidRPr="00E4197D" w:rsidTr="00F55F48">
        <w:trPr>
          <w:trHeight w:val="292"/>
        </w:trPr>
        <w:tc>
          <w:tcPr>
            <w:tcW w:w="0" w:type="auto"/>
            <w:hideMark/>
          </w:tcPr>
          <w:p w:rsidR="003F5D83" w:rsidRPr="00E4197D" w:rsidRDefault="003F5D83" w:rsidP="003F5D83">
            <w:pPr>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Регион</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2019</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2020</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2021</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2022</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2023</w:t>
            </w:r>
          </w:p>
        </w:tc>
      </w:tr>
      <w:tr w:rsidR="003F5D83" w:rsidRPr="00E4197D" w:rsidTr="00F55F48">
        <w:trPr>
          <w:trHeight w:val="292"/>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00C23FF1" w:rsidRPr="00E4197D">
              <w:rPr>
                <w:rFonts w:ascii="Times New Roman" w:hAnsi="Times New Roman" w:cs="Times New Roman"/>
                <w:kern w:val="2"/>
                <w:sz w:val="24"/>
                <w:szCs w:val="24"/>
                <w14:ligatures w14:val="standardContextual"/>
              </w:rPr>
              <w:t>Кишинёв</w:t>
            </w:r>
            <w:proofErr w:type="spellEnd"/>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60,2</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60,0</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60,4</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62,4</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61,2</w:t>
            </w:r>
          </w:p>
        </w:tc>
      </w:tr>
      <w:tr w:rsidR="003F5D83" w:rsidRPr="00E4197D" w:rsidTr="00F55F48">
        <w:trPr>
          <w:trHeight w:val="292"/>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Север</w:t>
            </w:r>
            <w:proofErr w:type="spellEnd"/>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15,8</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15,8</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15,3</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14,4</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14,9</w:t>
            </w:r>
          </w:p>
        </w:tc>
      </w:tr>
      <w:tr w:rsidR="003F5D83" w:rsidRPr="00E4197D" w:rsidTr="00F55F48">
        <w:trPr>
          <w:trHeight w:val="292"/>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Центр</w:t>
            </w:r>
            <w:proofErr w:type="spellEnd"/>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14,8</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15,0</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15,0</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14,6</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15,0</w:t>
            </w:r>
          </w:p>
        </w:tc>
      </w:tr>
      <w:tr w:rsidR="003F5D83" w:rsidRPr="00E4197D" w:rsidTr="00F55F48">
        <w:trPr>
          <w:trHeight w:val="292"/>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Юг</w:t>
            </w:r>
            <w:proofErr w:type="spellEnd"/>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6,8</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6,9</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7,0</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6,4</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6,5</w:t>
            </w:r>
          </w:p>
        </w:tc>
      </w:tr>
      <w:tr w:rsidR="003F5D83" w:rsidRPr="00E4197D" w:rsidTr="00F55F48">
        <w:trPr>
          <w:trHeight w:val="292"/>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АТО </w:t>
            </w:r>
            <w:proofErr w:type="spellStart"/>
            <w:r w:rsidRPr="00E4197D">
              <w:rPr>
                <w:rFonts w:ascii="Times New Roman" w:hAnsi="Times New Roman" w:cs="Times New Roman"/>
                <w:kern w:val="2"/>
                <w:sz w:val="24"/>
                <w:szCs w:val="24"/>
                <w14:ligatures w14:val="standardContextual"/>
              </w:rPr>
              <w:t>Гагаузия</w:t>
            </w:r>
            <w:proofErr w:type="spellEnd"/>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2,3</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2,3</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2,3</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2,3</w:t>
            </w:r>
          </w:p>
        </w:tc>
        <w:tc>
          <w:tcPr>
            <w:tcW w:w="0" w:type="auto"/>
            <w:noWrap/>
            <w:vAlign w:val="center"/>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2,4</w:t>
            </w:r>
          </w:p>
        </w:tc>
      </w:tr>
    </w:tbl>
    <w:p w:rsidR="003F5D83" w:rsidRPr="00423BEE"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423BEE">
        <w:rPr>
          <w:rFonts w:ascii="Times New Roman" w:hAnsi="Times New Roman" w:cs="Times New Roman"/>
          <w:i/>
          <w:iCs/>
          <w:kern w:val="2"/>
          <w:sz w:val="16"/>
          <w:szCs w:val="16"/>
          <w14:ligatures w14:val="standardContextual"/>
        </w:rPr>
        <w:t>Источник</w:t>
      </w:r>
      <w:proofErr w:type="spellEnd"/>
      <w:r w:rsidRPr="00423BEE">
        <w:rPr>
          <w:rFonts w:ascii="Times New Roman" w:hAnsi="Times New Roman" w:cs="Times New Roman"/>
          <w:i/>
          <w:iCs/>
          <w:kern w:val="2"/>
          <w:sz w:val="16"/>
          <w:szCs w:val="16"/>
          <w14:ligatures w14:val="standardContextual"/>
        </w:rPr>
        <w:t xml:space="preserve">: Banca de date </w:t>
      </w:r>
      <w:proofErr w:type="spellStart"/>
      <w:r w:rsidRPr="00423BEE">
        <w:rPr>
          <w:rFonts w:ascii="Times New Roman" w:hAnsi="Times New Roman" w:cs="Times New Roman"/>
          <w:i/>
          <w:iCs/>
          <w:kern w:val="2"/>
          <w:sz w:val="16"/>
          <w:szCs w:val="16"/>
          <w14:ligatures w14:val="standardContextual"/>
        </w:rPr>
        <w:t>statistică</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StatBank</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Structura</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activităților</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economice</w:t>
      </w:r>
      <w:proofErr w:type="spellEnd"/>
      <w:r w:rsidRPr="00423BEE">
        <w:rPr>
          <w:rFonts w:ascii="Times New Roman" w:hAnsi="Times New Roman" w:cs="Times New Roman"/>
          <w:i/>
          <w:iCs/>
          <w:kern w:val="2"/>
          <w:sz w:val="16"/>
          <w:szCs w:val="16"/>
          <w14:ligatures w14:val="standardContextual"/>
        </w:rPr>
        <w:t xml:space="preserve"> pe </w:t>
      </w:r>
      <w:proofErr w:type="spellStart"/>
      <w:r w:rsidRPr="00423BEE">
        <w:rPr>
          <w:rFonts w:ascii="Times New Roman" w:hAnsi="Times New Roman" w:cs="Times New Roman"/>
          <w:i/>
          <w:iCs/>
          <w:kern w:val="2"/>
          <w:sz w:val="16"/>
          <w:szCs w:val="16"/>
          <w14:ligatures w14:val="standardContextual"/>
        </w:rPr>
        <w:t>regiuni</w:t>
      </w:r>
      <w:proofErr w:type="spellEnd"/>
      <w:r w:rsidRPr="00423BEE">
        <w:rPr>
          <w:rFonts w:ascii="Times New Roman" w:hAnsi="Times New Roman" w:cs="Times New Roman"/>
          <w:i/>
          <w:iCs/>
          <w:kern w:val="2"/>
          <w:sz w:val="16"/>
          <w:szCs w:val="16"/>
          <w14:ligatures w14:val="standardContextual"/>
        </w:rPr>
        <w:t xml:space="preserve"> de </w:t>
      </w:r>
      <w:proofErr w:type="spellStart"/>
      <w:r w:rsidRPr="00423BEE">
        <w:rPr>
          <w:rFonts w:ascii="Times New Roman" w:hAnsi="Times New Roman" w:cs="Times New Roman"/>
          <w:i/>
          <w:iCs/>
          <w:kern w:val="2"/>
          <w:sz w:val="16"/>
          <w:szCs w:val="16"/>
          <w14:ligatures w14:val="standardContextual"/>
        </w:rPr>
        <w:t>dezvoltare</w:t>
      </w:r>
      <w:proofErr w:type="spellEnd"/>
      <w:r w:rsidRPr="00423BEE">
        <w:rPr>
          <w:rFonts w:ascii="Times New Roman" w:hAnsi="Times New Roman" w:cs="Times New Roman"/>
          <w:i/>
          <w:iCs/>
          <w:kern w:val="2"/>
          <w:sz w:val="16"/>
          <w:szCs w:val="16"/>
          <w14:ligatures w14:val="standardContextual"/>
        </w:rPr>
        <w:t>, %, 2019–2023 [</w:t>
      </w:r>
      <w:proofErr w:type="spellStart"/>
      <w:r w:rsidRPr="00423BEE">
        <w:rPr>
          <w:rFonts w:ascii="Times New Roman" w:hAnsi="Times New Roman" w:cs="Times New Roman"/>
          <w:i/>
          <w:iCs/>
          <w:kern w:val="2"/>
          <w:sz w:val="16"/>
          <w:szCs w:val="16"/>
          <w14:ligatures w14:val="standardContextual"/>
        </w:rPr>
        <w:t>resursă</w:t>
      </w:r>
      <w:proofErr w:type="spellEnd"/>
      <w:r w:rsidRPr="00423BEE">
        <w:rPr>
          <w:rFonts w:ascii="Times New Roman" w:hAnsi="Times New Roman" w:cs="Times New Roman"/>
          <w:i/>
          <w:iCs/>
          <w:kern w:val="2"/>
          <w:sz w:val="16"/>
          <w:szCs w:val="16"/>
          <w14:ligatures w14:val="standardContextual"/>
        </w:rPr>
        <w:t xml:space="preserve"> </w:t>
      </w:r>
      <w:proofErr w:type="spellStart"/>
      <w:r w:rsidRPr="00423BEE">
        <w:rPr>
          <w:rFonts w:ascii="Times New Roman" w:hAnsi="Times New Roman" w:cs="Times New Roman"/>
          <w:i/>
          <w:iCs/>
          <w:kern w:val="2"/>
          <w:sz w:val="16"/>
          <w:szCs w:val="16"/>
          <w14:ligatures w14:val="standardContextual"/>
        </w:rPr>
        <w:t>electronică</w:t>
      </w:r>
      <w:proofErr w:type="spellEnd"/>
      <w:r w:rsidRPr="00423BEE">
        <w:rPr>
          <w:rFonts w:ascii="Times New Roman" w:hAnsi="Times New Roman" w:cs="Times New Roman"/>
          <w:i/>
          <w:iCs/>
          <w:kern w:val="2"/>
          <w:sz w:val="16"/>
          <w:szCs w:val="16"/>
          <w14:ligatures w14:val="standardContextual"/>
        </w:rPr>
        <w:t xml:space="preserve">]. – </w:t>
      </w:r>
      <w:proofErr w:type="spellStart"/>
      <w:r w:rsidRPr="00423BEE">
        <w:rPr>
          <w:rFonts w:ascii="Times New Roman" w:hAnsi="Times New Roman" w:cs="Times New Roman"/>
          <w:i/>
          <w:iCs/>
          <w:kern w:val="2"/>
          <w:sz w:val="16"/>
          <w:szCs w:val="16"/>
          <w14:ligatures w14:val="standardContextual"/>
        </w:rPr>
        <w:t>Disponibil</w:t>
      </w:r>
      <w:proofErr w:type="spellEnd"/>
      <w:r w:rsidRPr="00423BEE">
        <w:rPr>
          <w:rFonts w:ascii="Times New Roman" w:hAnsi="Times New Roman" w:cs="Times New Roman"/>
          <w:i/>
          <w:iCs/>
          <w:kern w:val="2"/>
          <w:sz w:val="16"/>
          <w:szCs w:val="16"/>
          <w14:ligatures w14:val="standardContextual"/>
        </w:rPr>
        <w:t>:</w:t>
      </w:r>
    </w:p>
    <w:p w:rsidR="003F5D83" w:rsidRPr="00423BEE" w:rsidRDefault="00835535" w:rsidP="003F5D83">
      <w:pPr>
        <w:spacing w:after="0" w:line="240" w:lineRule="auto"/>
        <w:ind w:right="-22"/>
        <w:jc w:val="both"/>
        <w:rPr>
          <w:rFonts w:ascii="Times New Roman" w:hAnsi="Times New Roman" w:cs="Times New Roman"/>
          <w:i/>
          <w:iCs/>
          <w:kern w:val="2"/>
          <w:sz w:val="16"/>
          <w:szCs w:val="16"/>
          <w14:ligatures w14:val="standardContextual"/>
        </w:rPr>
      </w:pPr>
      <w:hyperlink r:id="rId15" w:history="1">
        <w:r w:rsidR="003F5D83" w:rsidRPr="00423BEE">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https://statbank.statistica.md/PxWeb/pxweb/ro/60%20Statistica%20regionala/60%20Statistica%20regionala__13%20CNT/CNT270300reg.px/</w:t>
        </w:r>
      </w:hyperlink>
      <w:r w:rsidR="003F5D83" w:rsidRPr="00423BEE">
        <w:rPr>
          <w:rFonts w:ascii="Times New Roman" w:hAnsi="Times New Roman" w:cs="Times New Roman"/>
          <w:i/>
          <w:iCs/>
          <w:kern w:val="2"/>
          <w:sz w:val="16"/>
          <w:szCs w:val="16"/>
          <w14:ligatures w14:val="standardContextual"/>
        </w:rPr>
        <w:t xml:space="preserve"> </w:t>
      </w:r>
    </w:p>
    <w:p w:rsidR="003F5D83" w:rsidRPr="00423BEE" w:rsidRDefault="003F5D83" w:rsidP="003F5D83">
      <w:pPr>
        <w:spacing w:after="0" w:line="240" w:lineRule="auto"/>
        <w:ind w:right="-22"/>
        <w:jc w:val="both"/>
        <w:rPr>
          <w:rFonts w:ascii="Times New Roman" w:hAnsi="Times New Roman" w:cs="Times New Roman"/>
          <w:kern w:val="2"/>
          <w:sz w:val="16"/>
          <w:szCs w:val="16"/>
          <w:lang w:val="ru-RU"/>
          <w14:ligatures w14:val="standardContextual"/>
        </w:rPr>
      </w:pPr>
      <w:r w:rsidRPr="00423BEE">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423BEE">
        <w:rPr>
          <w:rFonts w:ascii="Times New Roman" w:hAnsi="Times New Roman" w:cs="Times New Roman"/>
          <w:i/>
          <w:iCs/>
          <w:kern w:val="2"/>
          <w:sz w:val="16"/>
          <w:szCs w:val="16"/>
          <w14:ligatures w14:val="standardContextual"/>
        </w:rPr>
        <w:t>StatBank</w:t>
      </w:r>
      <w:proofErr w:type="spellEnd"/>
      <w:r w:rsidRPr="00423BEE">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rsidR="00F55F48" w:rsidRDefault="00F55F48"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Анализ </w:t>
      </w:r>
      <w:r>
        <w:rPr>
          <w:rFonts w:ascii="Times New Roman" w:hAnsi="Times New Roman" w:cs="Times New Roman"/>
          <w:kern w:val="2"/>
          <w:sz w:val="24"/>
          <w:szCs w:val="24"/>
          <w:lang w:val="ru-RU"/>
          <w14:ligatures w14:val="standardContextual"/>
        </w:rPr>
        <w:t>доли</w:t>
      </w:r>
      <w:r w:rsidRPr="00E4197D">
        <w:rPr>
          <w:rFonts w:ascii="Times New Roman" w:hAnsi="Times New Roman" w:cs="Times New Roman"/>
          <w:kern w:val="2"/>
          <w:sz w:val="24"/>
          <w:szCs w:val="24"/>
          <w:lang w:val="ru-RU"/>
          <w14:ligatures w14:val="standardContextual"/>
        </w:rPr>
        <w:t xml:space="preserve"> РВВП</w:t>
      </w:r>
      <w:r>
        <w:rPr>
          <w:rFonts w:ascii="Times New Roman" w:hAnsi="Times New Roman" w:cs="Times New Roman"/>
          <w:kern w:val="2"/>
          <w:sz w:val="24"/>
          <w:szCs w:val="24"/>
          <w:lang w:val="ru-RU"/>
          <w14:ligatures w14:val="standardContextual"/>
        </w:rPr>
        <w:t xml:space="preserve"> в общем по стране</w:t>
      </w:r>
      <w:r w:rsidRPr="00E4197D">
        <w:rPr>
          <w:rFonts w:ascii="Times New Roman" w:hAnsi="Times New Roman" w:cs="Times New Roman"/>
          <w:kern w:val="2"/>
          <w:sz w:val="24"/>
          <w:szCs w:val="24"/>
          <w:lang w:val="ru-RU"/>
          <w14:ligatures w14:val="standardContextual"/>
        </w:rPr>
        <w:t xml:space="preserve"> показывает значительную концентрацию экономической активности в муниципии Кишинёв, на который в 2019–2023 гг. приходится более 60% общего объема РВВП (от 60,0% до 62,4%) страны. Регионы Север и Центр занимают второстепенные позиции с относительно стабильной долей — в пределах 14,4–15,8% и 14,6–15,0% соответственно. Регион Юг характеризуется более низкой долей (6,4–7,0%), что отражает меньшие масштабы экономической активности.</w:t>
      </w:r>
    </w:p>
    <w:p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На этом фоне АТО Гагаузия занимает наименьшую долю в структуре РВВП — около 2,3–2,4% на протяжении всего анализируемого периода. Несмотря на рост абсолютных объемов РВВП (см.табл.2), доля региона остается практически неизменной, что говорит об отсутствии существенных структурных изменений и сохранении периферийной роли региона в экономике страны. </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Уровень экономического развития регионов также характеризуется показателем РВВП на душу населения, данные по которому представлены в таблице</w:t>
      </w:r>
      <w:r>
        <w:rPr>
          <w:rFonts w:ascii="Times New Roman" w:hAnsi="Times New Roman" w:cs="Times New Roman"/>
          <w:kern w:val="2"/>
          <w:sz w:val="24"/>
          <w:szCs w:val="24"/>
          <w:lang w:val="ru-RU"/>
          <w14:ligatures w14:val="standardContextual"/>
        </w:rPr>
        <w:t xml:space="preserve"> 2.4.</w:t>
      </w:r>
    </w:p>
    <w:p w:rsidR="007451C2" w:rsidRPr="00E4197D" w:rsidRDefault="007451C2"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F55F48" w:rsidRDefault="00F55F48" w:rsidP="003F5D83">
      <w:pPr>
        <w:spacing w:after="0" w:line="240" w:lineRule="auto"/>
        <w:jc w:val="center"/>
        <w:rPr>
          <w:rFonts w:ascii="Times New Roman" w:hAnsi="Times New Roman" w:cs="Times New Roman"/>
          <w:b/>
          <w:bCs/>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2.4.</w:t>
      </w:r>
      <w:r w:rsidRPr="00E4197D">
        <w:rPr>
          <w:rFonts w:ascii="Times New Roman" w:hAnsi="Times New Roman" w:cs="Times New Roman"/>
          <w:b/>
          <w:bCs/>
          <w:kern w:val="2"/>
          <w:sz w:val="24"/>
          <w:szCs w:val="24"/>
          <w:lang w:val="ru-RU"/>
          <w14:ligatures w14:val="standardContextual"/>
        </w:rPr>
        <w:t xml:space="preserve"> РВВП на душу населения по регионам развития Республики Молдова, </w:t>
      </w: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2019–2023 гг., леев/чел.</w:t>
      </w:r>
    </w:p>
    <w:p w:rsidR="007451C2" w:rsidRPr="00E4197D" w:rsidRDefault="007451C2"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346"/>
        <w:gridCol w:w="1346"/>
        <w:gridCol w:w="1346"/>
        <w:gridCol w:w="1346"/>
        <w:gridCol w:w="1346"/>
      </w:tblGrid>
      <w:tr w:rsidR="003F5D83" w:rsidRPr="00E4197D" w:rsidTr="00F55F48">
        <w:trPr>
          <w:trHeight w:val="274"/>
        </w:trPr>
        <w:tc>
          <w:tcPr>
            <w:tcW w:w="0" w:type="auto"/>
            <w:hideMark/>
          </w:tcPr>
          <w:p w:rsidR="003F5D83" w:rsidRPr="00E4197D" w:rsidRDefault="003F5D83" w:rsidP="003F5D83">
            <w:pPr>
              <w:jc w:val="center"/>
              <w:rPr>
                <w:rFonts w:ascii="Times New Roman" w:hAnsi="Times New Roman" w:cs="Times New Roman"/>
                <w:b/>
                <w:bCs/>
                <w:kern w:val="2"/>
                <w:sz w:val="24"/>
                <w:szCs w:val="24"/>
                <w:lang w:val="ru-RU"/>
                <w14:ligatures w14:val="standardContextual"/>
              </w:rPr>
            </w:pPr>
            <w:r w:rsidRPr="00E4197D">
              <w:rPr>
                <w:rFonts w:ascii="Times New Roman" w:hAnsi="Times New Roman" w:cs="Times New Roman"/>
                <w:b/>
                <w:bCs/>
                <w:kern w:val="2"/>
                <w:sz w:val="24"/>
                <w:szCs w:val="24"/>
                <w:lang w:val="ru-RU"/>
                <w14:ligatures w14:val="standardContextual"/>
              </w:rPr>
              <w:t>Регион</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2019</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2020</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2021</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2022</w:t>
            </w:r>
          </w:p>
        </w:tc>
        <w:tc>
          <w:tcPr>
            <w:tcW w:w="0" w:type="auto"/>
            <w:hideMark/>
          </w:tcPr>
          <w:p w:rsidR="003F5D83" w:rsidRPr="00E4197D" w:rsidRDefault="003F5D83" w:rsidP="003F5D83">
            <w:pPr>
              <w:jc w:val="center"/>
              <w:rPr>
                <w:rFonts w:ascii="Times New Roman" w:hAnsi="Times New Roman" w:cs="Times New Roman"/>
                <w:b/>
                <w:bCs/>
                <w:kern w:val="2"/>
                <w:sz w:val="24"/>
                <w:szCs w:val="24"/>
                <w14:ligatures w14:val="standardContextual"/>
              </w:rPr>
            </w:pPr>
            <w:r w:rsidRPr="00E4197D">
              <w:rPr>
                <w:rFonts w:ascii="Times New Roman" w:hAnsi="Times New Roman" w:cs="Times New Roman"/>
                <w:b/>
                <w:bCs/>
                <w:kern w:val="2"/>
                <w:sz w:val="24"/>
                <w:szCs w:val="24"/>
                <w14:ligatures w14:val="standardContextual"/>
              </w:rPr>
              <w:t>2023</w:t>
            </w:r>
          </w:p>
        </w:tc>
      </w:tr>
      <w:tr w:rsidR="003F5D83" w:rsidRPr="00E4197D" w:rsidTr="00F55F48">
        <w:trPr>
          <w:trHeight w:val="274"/>
        </w:trPr>
        <w:tc>
          <w:tcPr>
            <w:tcW w:w="0" w:type="auto"/>
            <w:hideMark/>
          </w:tcPr>
          <w:p w:rsidR="003F5D83" w:rsidRPr="00E4197D" w:rsidRDefault="003F5D83" w:rsidP="003F5D83">
            <w:pPr>
              <w:rPr>
                <w:rFonts w:ascii="Times New Roman" w:hAnsi="Times New Roman" w:cs="Times New Roman"/>
                <w:kern w:val="2"/>
                <w:sz w:val="24"/>
                <w:szCs w:val="24"/>
                <w:lang w:val="ru-RU"/>
                <w14:ligatures w14:val="standardContextual"/>
              </w:rPr>
            </w:pPr>
            <w:proofErr w:type="spellStart"/>
            <w:r w:rsidRPr="00E4197D">
              <w:rPr>
                <w:rFonts w:ascii="Times New Roman" w:hAnsi="Times New Roman" w:cs="Times New Roman"/>
                <w:kern w:val="2"/>
                <w:sz w:val="24"/>
                <w:szCs w:val="24"/>
                <w14:ligatures w14:val="standardContextual"/>
              </w:rPr>
              <w:t>Всего</w:t>
            </w:r>
            <w:proofErr w:type="spellEnd"/>
            <w:r w:rsidRPr="00E4197D">
              <w:rPr>
                <w:rFonts w:ascii="Times New Roman" w:hAnsi="Times New Roman" w:cs="Times New Roman"/>
                <w:kern w:val="2"/>
                <w:sz w:val="24"/>
                <w:szCs w:val="24"/>
                <w:lang w:val="ru-RU"/>
                <w14:ligatures w14:val="standardContextual"/>
              </w:rPr>
              <w:t xml:space="preserve"> по стране </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77 415</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75 796</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93 259</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108 551</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123 468</w:t>
            </w:r>
          </w:p>
        </w:tc>
      </w:tr>
      <w:tr w:rsidR="003F5D83" w:rsidRPr="00E4197D" w:rsidTr="00F55F48">
        <w:trPr>
          <w:trHeight w:val="274"/>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001F0E6B" w:rsidRPr="00E4197D">
              <w:rPr>
                <w:rFonts w:ascii="Times New Roman" w:hAnsi="Times New Roman" w:cs="Times New Roman"/>
                <w:kern w:val="2"/>
                <w:sz w:val="24"/>
                <w:szCs w:val="24"/>
                <w14:ligatures w14:val="standardContextual"/>
              </w:rPr>
              <w:t>Кишинёв</w:t>
            </w:r>
            <w:proofErr w:type="spellEnd"/>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188 385</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180 122</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218 000</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255 211</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278 199</w:t>
            </w:r>
          </w:p>
        </w:tc>
      </w:tr>
      <w:tr w:rsidR="003F5D83" w:rsidRPr="00E4197D" w:rsidTr="00F55F48">
        <w:trPr>
          <w:trHeight w:val="274"/>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Север</w:t>
            </w:r>
            <w:proofErr w:type="spellEnd"/>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43 600</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42 957</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51 746</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57 460</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68 730</w:t>
            </w:r>
          </w:p>
        </w:tc>
      </w:tr>
      <w:tr w:rsidR="003F5D83" w:rsidRPr="00E4197D" w:rsidTr="00F55F48">
        <w:trPr>
          <w:trHeight w:val="274"/>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Центр</w:t>
            </w:r>
            <w:proofErr w:type="spellEnd"/>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39 962</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39 985</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49 619</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56 328</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66 431</w:t>
            </w:r>
          </w:p>
        </w:tc>
      </w:tr>
      <w:tr w:rsidR="003F5D83" w:rsidRPr="00E4197D" w:rsidTr="00F55F48">
        <w:trPr>
          <w:trHeight w:val="274"/>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w:t>
            </w:r>
            <w:proofErr w:type="spellStart"/>
            <w:r w:rsidRPr="00E4197D">
              <w:rPr>
                <w:rFonts w:ascii="Times New Roman" w:hAnsi="Times New Roman" w:cs="Times New Roman"/>
                <w:kern w:val="2"/>
                <w:sz w:val="24"/>
                <w:szCs w:val="24"/>
                <w14:ligatures w14:val="standardContextual"/>
              </w:rPr>
              <w:t>Юг</w:t>
            </w:r>
            <w:proofErr w:type="spellEnd"/>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38 030</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37 759</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47 546</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51 341</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60 086</w:t>
            </w:r>
          </w:p>
        </w:tc>
      </w:tr>
      <w:tr w:rsidR="003F5D83" w:rsidRPr="00E4197D" w:rsidTr="00F55F48">
        <w:trPr>
          <w:trHeight w:val="274"/>
        </w:trPr>
        <w:tc>
          <w:tcPr>
            <w:tcW w:w="0" w:type="auto"/>
            <w:hideMark/>
          </w:tcPr>
          <w:p w:rsidR="003F5D83" w:rsidRPr="00E4197D" w:rsidRDefault="003F5D83" w:rsidP="003F5D83">
            <w:pPr>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 xml:space="preserve">РР АТО </w:t>
            </w:r>
            <w:proofErr w:type="spellStart"/>
            <w:r w:rsidRPr="00E4197D">
              <w:rPr>
                <w:rFonts w:ascii="Times New Roman" w:hAnsi="Times New Roman" w:cs="Times New Roman"/>
                <w:kern w:val="2"/>
                <w:sz w:val="24"/>
                <w:szCs w:val="24"/>
                <w14:ligatures w14:val="standardContextual"/>
              </w:rPr>
              <w:t>Гагаузия</w:t>
            </w:r>
            <w:proofErr w:type="spellEnd"/>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39 208</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37 484</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46 016</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52 590</w:t>
            </w:r>
          </w:p>
        </w:tc>
        <w:tc>
          <w:tcPr>
            <w:tcW w:w="0" w:type="auto"/>
            <w:hideMark/>
          </w:tcPr>
          <w:p w:rsidR="003F5D83" w:rsidRPr="00E4197D" w:rsidRDefault="003F5D83" w:rsidP="003F5D83">
            <w:pPr>
              <w:jc w:val="right"/>
              <w:rPr>
                <w:rFonts w:ascii="Times New Roman" w:hAnsi="Times New Roman" w:cs="Times New Roman"/>
                <w:kern w:val="2"/>
                <w:sz w:val="24"/>
                <w:szCs w:val="24"/>
                <w14:ligatures w14:val="standardContextual"/>
              </w:rPr>
            </w:pPr>
            <w:r w:rsidRPr="00E4197D">
              <w:rPr>
                <w:rFonts w:ascii="Times New Roman" w:hAnsi="Times New Roman" w:cs="Times New Roman"/>
                <w:kern w:val="2"/>
                <w:sz w:val="24"/>
                <w:szCs w:val="24"/>
                <w14:ligatures w14:val="standardContextual"/>
              </w:rPr>
              <w:t>61 597</w:t>
            </w:r>
          </w:p>
        </w:tc>
      </w:tr>
    </w:tbl>
    <w:p w:rsidR="003F5D83" w:rsidRPr="007D7B6F"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7D7B6F">
        <w:rPr>
          <w:rFonts w:ascii="Times New Roman" w:hAnsi="Times New Roman" w:cs="Times New Roman"/>
          <w:i/>
          <w:iCs/>
          <w:kern w:val="2"/>
          <w:sz w:val="16"/>
          <w:szCs w:val="16"/>
          <w:lang w:val="ru-RU"/>
          <w14:ligatures w14:val="standardContextual"/>
        </w:rPr>
        <w:t>Источник: рассчитано АРР на базе таблицы 2.1. и таблицы 2.2</w:t>
      </w:r>
    </w:p>
    <w:p w:rsidR="003F5D83"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7D7B6F">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7D7B6F">
        <w:rPr>
          <w:rFonts w:ascii="Times New Roman" w:hAnsi="Times New Roman" w:cs="Times New Roman"/>
          <w:i/>
          <w:iCs/>
          <w:kern w:val="2"/>
          <w:sz w:val="16"/>
          <w:szCs w:val="16"/>
          <w14:ligatures w14:val="standardContextual"/>
        </w:rPr>
        <w:t>StatBank</w:t>
      </w:r>
      <w:proofErr w:type="spellEnd"/>
      <w:r w:rsidRPr="007D7B6F">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rsidR="00F55F48" w:rsidRDefault="00F55F48" w:rsidP="003F5D83">
      <w:pPr>
        <w:spacing w:after="0" w:line="240" w:lineRule="auto"/>
        <w:ind w:right="-22"/>
        <w:jc w:val="both"/>
        <w:rPr>
          <w:rFonts w:ascii="Times New Roman" w:hAnsi="Times New Roman" w:cs="Times New Roman"/>
          <w:i/>
          <w:iCs/>
          <w:kern w:val="2"/>
          <w:sz w:val="16"/>
          <w:szCs w:val="16"/>
          <w:lang w:val="ru-RU"/>
          <w14:ligatures w14:val="standardContextual"/>
        </w:rPr>
      </w:pPr>
    </w:p>
    <w:p w:rsidR="007451C2" w:rsidRPr="007D7B6F" w:rsidRDefault="007451C2" w:rsidP="003F5D83">
      <w:pPr>
        <w:spacing w:after="0" w:line="240" w:lineRule="auto"/>
        <w:ind w:right="-22"/>
        <w:jc w:val="both"/>
        <w:rPr>
          <w:rFonts w:ascii="Times New Roman" w:hAnsi="Times New Roman" w:cs="Times New Roman"/>
          <w:i/>
          <w:iCs/>
          <w:kern w:val="2"/>
          <w:sz w:val="16"/>
          <w:szCs w:val="16"/>
          <w:lang w:val="ru-RU"/>
          <w14:ligatures w14:val="standardContextual"/>
        </w:rPr>
      </w:pPr>
    </w:p>
    <w:p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lastRenderedPageBreak/>
        <w:t>РВВП на душу населения в среднем по стране увеличился с 77 415 леев/чел. в 2019 году до 123 468 леев/чел. в 2023 году, или на 59,5%, что отражает общее повышение уровня экономической активности.</w:t>
      </w:r>
    </w:p>
    <w:p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В АТО Гагаузия также наблюдается рост данного показателя, однако его значение остаётся значительно ниже среднереспубликанского. Так, в 2023 году РВВП на душу населения в автономии составлял около 49,9% от среднего по стране, что свидетельствует о существенном отставании по уровню экономического развития.</w:t>
      </w:r>
    </w:p>
    <w:p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Сопоставление с другими регионами развития показывает, что АТО Гагаузия по уровню РВВП на душу населения превышает </w:t>
      </w:r>
      <w:r>
        <w:rPr>
          <w:rFonts w:ascii="Times New Roman" w:hAnsi="Times New Roman" w:cs="Times New Roman"/>
          <w:kern w:val="2"/>
          <w:sz w:val="24"/>
          <w:szCs w:val="24"/>
          <w:lang w:val="ru-RU"/>
          <w14:ligatures w14:val="standardContextual"/>
        </w:rPr>
        <w:t xml:space="preserve">показатели </w:t>
      </w:r>
      <w:r w:rsidRPr="00E4197D">
        <w:rPr>
          <w:rFonts w:ascii="Times New Roman" w:hAnsi="Times New Roman" w:cs="Times New Roman"/>
          <w:kern w:val="2"/>
          <w:sz w:val="24"/>
          <w:szCs w:val="24"/>
          <w:lang w:val="ru-RU"/>
          <w14:ligatures w14:val="standardContextual"/>
        </w:rPr>
        <w:t>регион</w:t>
      </w:r>
      <w:r>
        <w:rPr>
          <w:rFonts w:ascii="Times New Roman" w:hAnsi="Times New Roman" w:cs="Times New Roman"/>
          <w:kern w:val="2"/>
          <w:sz w:val="24"/>
          <w:szCs w:val="24"/>
          <w:lang w:val="ru-RU"/>
          <w14:ligatures w14:val="standardContextual"/>
        </w:rPr>
        <w:t>а</w:t>
      </w:r>
      <w:r w:rsidRPr="00E4197D">
        <w:rPr>
          <w:rFonts w:ascii="Times New Roman" w:hAnsi="Times New Roman" w:cs="Times New Roman"/>
          <w:kern w:val="2"/>
          <w:sz w:val="24"/>
          <w:szCs w:val="24"/>
          <w:lang w:val="ru-RU"/>
          <w14:ligatures w14:val="standardContextual"/>
        </w:rPr>
        <w:t xml:space="preserve"> Юг, однако уступает остальным регионам страны. В 2023 году данный показатель в автономии превышает уровень региона Юг примерно на 2,5%, однако уступает региону Центр на 7,3%, а региону Север — примерно на 10,4%. Наиболее значительное отставание наблюдается от муниципия Кишинёв, где РВВП на душу населения (278 199 леев/чел.) превышает показатель АТО Гагаузия более чем в 4,5 раза (или примерно на 351%), что отражает более низкую экономическую эффективность и производительность, а также указывает на сохраняющийся разрыв в уровне жизни и экономического благосостояния населения региона. В сложившихся условиях это ограничивает возможности формирования доходов населения, сдерживает внутренний спрос и снижает инвестиционную привлекательность региона.</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Далее рассмотрим структуру РВВП АТО Гагаузия по видам экономической деятельности в абсолютных значениях, что позволяет оценить вклад каждой отрасли в экономику региона.</w:t>
      </w:r>
    </w:p>
    <w:p w:rsidR="00B9086D" w:rsidRPr="00E4197D" w:rsidRDefault="00B9086D"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E4197D" w:rsidRDefault="003F5D83" w:rsidP="003F5D83">
      <w:pPr>
        <w:spacing w:after="0" w:line="240" w:lineRule="auto"/>
        <w:jc w:val="center"/>
        <w:rPr>
          <w:rFonts w:ascii="Times New Roman" w:eastAsia="Times New Roman" w:hAnsi="Times New Roman" w:cs="Times New Roman"/>
          <w:b/>
          <w:bCs/>
          <w:sz w:val="24"/>
          <w:szCs w:val="24"/>
          <w:lang w:val="ru-RU"/>
        </w:rPr>
      </w:pPr>
      <w:r w:rsidRPr="00E4197D">
        <w:rPr>
          <w:rFonts w:ascii="Times New Roman" w:eastAsia="Times New Roman" w:hAnsi="Times New Roman" w:cs="Times New Roman"/>
          <w:b/>
          <w:bCs/>
          <w:sz w:val="24"/>
          <w:szCs w:val="24"/>
          <w:lang w:val="ru-RU"/>
        </w:rPr>
        <w:t>Таблица</w:t>
      </w:r>
      <w:r>
        <w:rPr>
          <w:rFonts w:ascii="Times New Roman" w:eastAsia="Times New Roman" w:hAnsi="Times New Roman" w:cs="Times New Roman"/>
          <w:b/>
          <w:bCs/>
          <w:sz w:val="24"/>
          <w:szCs w:val="24"/>
          <w:lang w:val="ru-RU"/>
        </w:rPr>
        <w:t xml:space="preserve"> 2.5.</w:t>
      </w:r>
      <w:r w:rsidRPr="00E4197D">
        <w:rPr>
          <w:rFonts w:ascii="Times New Roman" w:eastAsia="Times New Roman" w:hAnsi="Times New Roman" w:cs="Times New Roman"/>
          <w:b/>
          <w:bCs/>
          <w:sz w:val="24"/>
          <w:szCs w:val="24"/>
          <w:lang w:val="ru-RU"/>
        </w:rPr>
        <w:t xml:space="preserve"> Динамика структуры РВВП по видам экономической деятельности в </w:t>
      </w:r>
    </w:p>
    <w:p w:rsidR="003F5D83" w:rsidRDefault="003F5D83" w:rsidP="003F5D83">
      <w:pPr>
        <w:spacing w:after="0" w:line="240" w:lineRule="auto"/>
        <w:jc w:val="center"/>
        <w:rPr>
          <w:rFonts w:ascii="Times New Roman" w:eastAsia="Times New Roman" w:hAnsi="Times New Roman" w:cs="Times New Roman"/>
          <w:b/>
          <w:bCs/>
          <w:sz w:val="24"/>
          <w:szCs w:val="24"/>
          <w:lang w:val="ru-RU"/>
        </w:rPr>
      </w:pPr>
      <w:r w:rsidRPr="00E4197D">
        <w:rPr>
          <w:rFonts w:ascii="Times New Roman" w:eastAsia="Times New Roman" w:hAnsi="Times New Roman" w:cs="Times New Roman"/>
          <w:b/>
          <w:bCs/>
          <w:sz w:val="24"/>
          <w:szCs w:val="24"/>
          <w:lang w:val="ru-RU"/>
        </w:rPr>
        <w:t>АТО Гагаузия, 2019–2023 гг., тыс. леев</w:t>
      </w:r>
    </w:p>
    <w:p w:rsidR="007451C2" w:rsidRPr="00E4197D" w:rsidRDefault="007451C2" w:rsidP="003F5D83">
      <w:pPr>
        <w:spacing w:after="0" w:line="240" w:lineRule="auto"/>
        <w:jc w:val="center"/>
        <w:rPr>
          <w:rFonts w:ascii="Times New Roman" w:eastAsia="Times New Roman" w:hAnsi="Times New Roman" w:cs="Times New Roman"/>
          <w:b/>
          <w:bCs/>
          <w:sz w:val="24"/>
          <w:szCs w:val="24"/>
          <w:lang w:val="ru-RU"/>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136"/>
        <w:gridCol w:w="964"/>
        <w:gridCol w:w="1136"/>
        <w:gridCol w:w="1136"/>
        <w:gridCol w:w="1136"/>
      </w:tblGrid>
      <w:tr w:rsidR="003F5D83" w:rsidRPr="00E4197D" w:rsidTr="00F55F48">
        <w:trPr>
          <w:trHeight w:val="145"/>
        </w:trPr>
        <w:tc>
          <w:tcPr>
            <w:tcW w:w="0" w:type="auto"/>
            <w:vAlign w:val="center"/>
            <w:hideMark/>
          </w:tcPr>
          <w:p w:rsidR="003F5D83" w:rsidRPr="00E4197D" w:rsidRDefault="003F5D83" w:rsidP="00B9086D">
            <w:pPr>
              <w:spacing w:after="0"/>
              <w:jc w:val="center"/>
              <w:rPr>
                <w:rFonts w:ascii="Times New Roman" w:hAnsi="Times New Roman" w:cs="Times New Roman"/>
                <w:b/>
                <w:bCs/>
                <w:kern w:val="2"/>
                <w:sz w:val="23"/>
                <w:szCs w:val="23"/>
                <w:lang w:val="ru-RU"/>
                <w14:ligatures w14:val="standardContextual"/>
              </w:rPr>
            </w:pPr>
            <w:proofErr w:type="spellStart"/>
            <w:r w:rsidRPr="00E4197D">
              <w:rPr>
                <w:rFonts w:ascii="Times New Roman" w:hAnsi="Times New Roman" w:cs="Times New Roman"/>
                <w:b/>
                <w:bCs/>
                <w:kern w:val="2"/>
                <w:sz w:val="23"/>
                <w:szCs w:val="23"/>
                <w14:ligatures w14:val="standardContextual"/>
              </w:rPr>
              <w:t>Наименование</w:t>
            </w:r>
            <w:proofErr w:type="spellEnd"/>
            <w:r w:rsidRPr="00E4197D">
              <w:rPr>
                <w:rFonts w:ascii="Times New Roman" w:hAnsi="Times New Roman" w:cs="Times New Roman"/>
                <w:b/>
                <w:bCs/>
                <w:kern w:val="2"/>
                <w:sz w:val="23"/>
                <w:szCs w:val="23"/>
                <w14:ligatures w14:val="standardContextual"/>
              </w:rPr>
              <w:t xml:space="preserve"> </w:t>
            </w:r>
            <w:proofErr w:type="spellStart"/>
            <w:r w:rsidRPr="00E4197D">
              <w:rPr>
                <w:rFonts w:ascii="Times New Roman" w:hAnsi="Times New Roman" w:cs="Times New Roman"/>
                <w:b/>
                <w:bCs/>
                <w:kern w:val="2"/>
                <w:sz w:val="23"/>
                <w:szCs w:val="23"/>
                <w14:ligatures w14:val="standardContextual"/>
              </w:rPr>
              <w:t>экономической</w:t>
            </w:r>
            <w:proofErr w:type="spellEnd"/>
            <w:r w:rsidRPr="00E4197D">
              <w:rPr>
                <w:rFonts w:ascii="Times New Roman" w:hAnsi="Times New Roman" w:cs="Times New Roman"/>
                <w:b/>
                <w:bCs/>
                <w:kern w:val="2"/>
                <w:sz w:val="23"/>
                <w:szCs w:val="23"/>
                <w14:ligatures w14:val="standardContextual"/>
              </w:rPr>
              <w:t xml:space="preserve"> </w:t>
            </w:r>
            <w:proofErr w:type="spellStart"/>
            <w:r w:rsidRPr="00E4197D">
              <w:rPr>
                <w:rFonts w:ascii="Times New Roman" w:hAnsi="Times New Roman" w:cs="Times New Roman"/>
                <w:b/>
                <w:bCs/>
                <w:kern w:val="2"/>
                <w:sz w:val="23"/>
                <w:szCs w:val="23"/>
                <w14:ligatures w14:val="standardContextual"/>
              </w:rPr>
              <w:t>деятельности</w:t>
            </w:r>
            <w:proofErr w:type="spellEnd"/>
          </w:p>
        </w:tc>
        <w:tc>
          <w:tcPr>
            <w:tcW w:w="0" w:type="auto"/>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2019</w:t>
            </w:r>
          </w:p>
        </w:tc>
        <w:tc>
          <w:tcPr>
            <w:tcW w:w="0" w:type="auto"/>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2020</w:t>
            </w:r>
          </w:p>
        </w:tc>
        <w:tc>
          <w:tcPr>
            <w:tcW w:w="0" w:type="auto"/>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2021</w:t>
            </w:r>
          </w:p>
        </w:tc>
        <w:tc>
          <w:tcPr>
            <w:tcW w:w="0" w:type="auto"/>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2022</w:t>
            </w:r>
          </w:p>
        </w:tc>
        <w:tc>
          <w:tcPr>
            <w:tcW w:w="0" w:type="auto"/>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2023</w:t>
            </w:r>
          </w:p>
        </w:tc>
      </w:tr>
      <w:tr w:rsidR="003F5D83" w:rsidRPr="00E4197D" w:rsidTr="00F55F48">
        <w:trPr>
          <w:trHeight w:val="243"/>
        </w:trPr>
        <w:tc>
          <w:tcPr>
            <w:tcW w:w="0" w:type="auto"/>
            <w:hideMark/>
          </w:tcPr>
          <w:p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Сельское хозяйство, лесное хозяйство и рыболовство</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1 002 614</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813 773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1 281 924</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1 278 022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1 187 918</w:t>
            </w:r>
          </w:p>
        </w:tc>
      </w:tr>
      <w:tr w:rsidR="003F5D83" w:rsidRPr="00E4197D" w:rsidTr="00F55F48">
        <w:trPr>
          <w:trHeight w:val="253"/>
        </w:trPr>
        <w:tc>
          <w:tcPr>
            <w:tcW w:w="0" w:type="auto"/>
            <w:hideMark/>
          </w:tcPr>
          <w:p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Добывающая</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промышленность</w:t>
            </w:r>
            <w:proofErr w:type="spellEnd"/>
          </w:p>
          <w:p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4 734</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4 973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5 262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3 161</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3 413</w:t>
            </w:r>
          </w:p>
        </w:tc>
      </w:tr>
      <w:tr w:rsidR="003F5D83" w:rsidRPr="00E4197D" w:rsidTr="00F55F48">
        <w:trPr>
          <w:trHeight w:val="253"/>
        </w:trPr>
        <w:tc>
          <w:tcPr>
            <w:tcW w:w="0" w:type="auto"/>
            <w:hideMark/>
          </w:tcPr>
          <w:p w:rsidR="003F5D83" w:rsidRDefault="003F5D83" w:rsidP="00B9086D">
            <w:pPr>
              <w:spacing w:after="0"/>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lang w:val="ru-RU"/>
                <w14:ligatures w14:val="standardContextual"/>
              </w:rPr>
              <w:t>Обрабатывающая</w:t>
            </w:r>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отрасль</w:t>
            </w:r>
            <w:proofErr w:type="spellEnd"/>
          </w:p>
          <w:p w:rsidR="007451C2" w:rsidRPr="00E4197D" w:rsidRDefault="007451C2" w:rsidP="00B9086D">
            <w:pPr>
              <w:spacing w:after="0"/>
              <w:rPr>
                <w:rFonts w:ascii="Times New Roman" w:hAnsi="Times New Roman" w:cs="Times New Roman"/>
                <w:kern w:val="2"/>
                <w:sz w:val="23"/>
                <w:szCs w:val="23"/>
                <w14:ligatures w14:val="standardContextual"/>
              </w:rPr>
            </w:pP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678 407</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684 170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783 496</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839 180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772 205</w:t>
            </w:r>
          </w:p>
        </w:tc>
      </w:tr>
      <w:tr w:rsidR="003F5D83" w:rsidRPr="00E4197D" w:rsidTr="00F55F48">
        <w:trPr>
          <w:trHeight w:val="507"/>
        </w:trPr>
        <w:tc>
          <w:tcPr>
            <w:tcW w:w="0" w:type="auto"/>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Производство и снабжение электроэнергией, тепловой энергией, газом, горячей водой и кондиционированным воздухом</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111 575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94 082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113 212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93 926</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115 081</w:t>
            </w:r>
          </w:p>
        </w:tc>
      </w:tr>
      <w:tr w:rsidR="003F5D83" w:rsidRPr="00E4197D" w:rsidTr="00F55F48">
        <w:trPr>
          <w:trHeight w:val="497"/>
        </w:trPr>
        <w:tc>
          <w:tcPr>
            <w:tcW w:w="0" w:type="auto"/>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Водоснабжение; санитария, управление отходами и деятельность по ликвидации загрязнений</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51 018</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50 928</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49 411</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47,932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48 398</w:t>
            </w:r>
          </w:p>
        </w:tc>
      </w:tr>
      <w:tr w:rsidR="003F5D83" w:rsidRPr="00E4197D" w:rsidTr="00F55F48">
        <w:trPr>
          <w:trHeight w:val="253"/>
        </w:trPr>
        <w:tc>
          <w:tcPr>
            <w:tcW w:w="0" w:type="auto"/>
            <w:hideMark/>
          </w:tcPr>
          <w:p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Строительство</w:t>
            </w:r>
            <w:proofErr w:type="spellEnd"/>
          </w:p>
          <w:p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324 207</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358 415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361 556</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426 087</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437 657</w:t>
            </w:r>
          </w:p>
        </w:tc>
      </w:tr>
      <w:tr w:rsidR="003F5D83" w:rsidRPr="00E4197D" w:rsidTr="00F55F48">
        <w:trPr>
          <w:trHeight w:val="507"/>
        </w:trPr>
        <w:tc>
          <w:tcPr>
            <w:tcW w:w="0" w:type="auto"/>
            <w:hideMark/>
          </w:tcPr>
          <w:p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Оптовая и розничная торговля; техническое обслуживание и ремонт автомобилей и мотоциклов.</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368 425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369 413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414 035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580 660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673 630</w:t>
            </w:r>
          </w:p>
        </w:tc>
      </w:tr>
      <w:tr w:rsidR="003F5D83" w:rsidRPr="00E4197D" w:rsidTr="00F55F48">
        <w:trPr>
          <w:trHeight w:val="253"/>
        </w:trPr>
        <w:tc>
          <w:tcPr>
            <w:tcW w:w="0" w:type="auto"/>
            <w:hideMark/>
          </w:tcPr>
          <w:p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Транспортировка</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хранение</w:t>
            </w:r>
            <w:proofErr w:type="spellEnd"/>
          </w:p>
          <w:p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96 076</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85 069</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112 238</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150 523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245 245</w:t>
            </w:r>
          </w:p>
        </w:tc>
      </w:tr>
      <w:tr w:rsidR="003F5D83" w:rsidRPr="00E4197D" w:rsidTr="00F55F48">
        <w:trPr>
          <w:trHeight w:val="243"/>
        </w:trPr>
        <w:tc>
          <w:tcPr>
            <w:tcW w:w="0" w:type="auto"/>
            <w:hideMark/>
          </w:tcPr>
          <w:p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Размещение и организация общественного питания</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39 193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18,337</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26 256</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44 509</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64 197</w:t>
            </w:r>
          </w:p>
        </w:tc>
      </w:tr>
      <w:tr w:rsidR="003F5D83" w:rsidRPr="00E4197D" w:rsidTr="00F55F48">
        <w:trPr>
          <w:trHeight w:val="253"/>
        </w:trPr>
        <w:tc>
          <w:tcPr>
            <w:tcW w:w="0" w:type="auto"/>
            <w:hideMark/>
          </w:tcPr>
          <w:p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Информация</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коммуникации</w:t>
            </w:r>
            <w:proofErr w:type="spellEnd"/>
          </w:p>
          <w:p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60 372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57,825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64 618</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89 415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180 568</w:t>
            </w:r>
          </w:p>
        </w:tc>
      </w:tr>
      <w:tr w:rsidR="003F5D83" w:rsidRPr="00E4197D" w:rsidTr="00F55F48">
        <w:trPr>
          <w:trHeight w:val="253"/>
        </w:trPr>
        <w:tc>
          <w:tcPr>
            <w:tcW w:w="0" w:type="auto"/>
            <w:hideMark/>
          </w:tcPr>
          <w:p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Финансовая и страховая деятельность</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100 841</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101 234</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104,881</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137,498</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153,576</w:t>
            </w:r>
          </w:p>
        </w:tc>
      </w:tr>
      <w:tr w:rsidR="003F5D83" w:rsidRPr="00E4197D" w:rsidTr="00F55F48">
        <w:trPr>
          <w:trHeight w:val="253"/>
        </w:trPr>
        <w:tc>
          <w:tcPr>
            <w:tcW w:w="0" w:type="auto"/>
            <w:hideMark/>
          </w:tcPr>
          <w:p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Сделки</w:t>
            </w:r>
            <w:proofErr w:type="spellEnd"/>
            <w:r w:rsidRPr="00E4197D">
              <w:rPr>
                <w:rFonts w:ascii="Times New Roman" w:hAnsi="Times New Roman" w:cs="Times New Roman"/>
                <w:kern w:val="2"/>
                <w:sz w:val="23"/>
                <w:szCs w:val="23"/>
                <w14:ligatures w14:val="standardContextual"/>
              </w:rPr>
              <w:t xml:space="preserve"> с </w:t>
            </w:r>
            <w:proofErr w:type="spellStart"/>
            <w:r w:rsidRPr="00E4197D">
              <w:rPr>
                <w:rFonts w:ascii="Times New Roman" w:hAnsi="Times New Roman" w:cs="Times New Roman"/>
                <w:kern w:val="2"/>
                <w:sz w:val="23"/>
                <w:szCs w:val="23"/>
                <w14:ligatures w14:val="standardContextual"/>
              </w:rPr>
              <w:t>недвижимостью</w:t>
            </w:r>
            <w:proofErr w:type="spellEnd"/>
          </w:p>
          <w:p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493 690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506 462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505 229</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598 469</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754 937</w:t>
            </w:r>
          </w:p>
        </w:tc>
      </w:tr>
      <w:tr w:rsidR="003F5D83" w:rsidRPr="00E4197D" w:rsidTr="00F55F48">
        <w:trPr>
          <w:trHeight w:val="253"/>
        </w:trPr>
        <w:tc>
          <w:tcPr>
            <w:tcW w:w="0" w:type="auto"/>
            <w:hideMark/>
          </w:tcPr>
          <w:p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lastRenderedPageBreak/>
              <w:t>Профессиональная, научно-техническая деятельность</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18 660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18,302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19,590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23,725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29,738</w:t>
            </w:r>
          </w:p>
        </w:tc>
      </w:tr>
      <w:tr w:rsidR="003F5D83" w:rsidRPr="00E4197D" w:rsidTr="00F55F48">
        <w:trPr>
          <w:trHeight w:val="253"/>
        </w:trPr>
        <w:tc>
          <w:tcPr>
            <w:tcW w:w="0" w:type="auto"/>
            <w:hideMark/>
          </w:tcPr>
          <w:p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Административная и вспомогательная деятельность.</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29,745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25 005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36 580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31 163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35,613</w:t>
            </w:r>
          </w:p>
        </w:tc>
      </w:tr>
      <w:tr w:rsidR="003F5D83" w:rsidRPr="00E4197D" w:rsidTr="00F55F48">
        <w:trPr>
          <w:trHeight w:val="497"/>
        </w:trPr>
        <w:tc>
          <w:tcPr>
            <w:tcW w:w="0" w:type="auto"/>
            <w:hideMark/>
          </w:tcPr>
          <w:p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Государственное управление и оборона; обязательное социальное страхование.</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182 472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200 433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204 699</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221 851</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276 535</w:t>
            </w:r>
          </w:p>
        </w:tc>
      </w:tr>
      <w:tr w:rsidR="003F5D83" w:rsidRPr="00E4197D" w:rsidTr="00F55F48">
        <w:trPr>
          <w:trHeight w:val="253"/>
        </w:trPr>
        <w:tc>
          <w:tcPr>
            <w:tcW w:w="0" w:type="auto"/>
            <w:hideMark/>
          </w:tcPr>
          <w:p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Образование</w:t>
            </w:r>
            <w:proofErr w:type="spellEnd"/>
          </w:p>
          <w:p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347 318</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361 931</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405,856</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494 122</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718 445</w:t>
            </w:r>
          </w:p>
        </w:tc>
      </w:tr>
      <w:tr w:rsidR="003F5D83" w:rsidRPr="00E4197D" w:rsidTr="00F55F48">
        <w:trPr>
          <w:trHeight w:val="253"/>
        </w:trPr>
        <w:tc>
          <w:tcPr>
            <w:tcW w:w="0" w:type="auto"/>
            <w:hideMark/>
          </w:tcPr>
          <w:p w:rsidR="003F5D83" w:rsidRPr="00E4197D" w:rsidRDefault="003F5D83" w:rsidP="00B9086D">
            <w:pPr>
              <w:spacing w:after="0"/>
              <w:rPr>
                <w:rFonts w:ascii="Times New Roman" w:hAnsi="Times New Roman" w:cs="Times New Roman"/>
                <w:b/>
                <w:bCs/>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Здравоохранение и социальная помощь</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147,409</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144,998</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194,873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212 417</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331 583</w:t>
            </w:r>
          </w:p>
        </w:tc>
      </w:tr>
      <w:tr w:rsidR="003F5D83" w:rsidRPr="00E4197D" w:rsidTr="00F55F48">
        <w:trPr>
          <w:trHeight w:val="253"/>
        </w:trPr>
        <w:tc>
          <w:tcPr>
            <w:tcW w:w="0" w:type="auto"/>
            <w:hideMark/>
          </w:tcPr>
          <w:p w:rsidR="003F5D83"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Искусство</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отдых</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дос</w:t>
            </w:r>
            <w:r w:rsidR="007451C2">
              <w:rPr>
                <w:rFonts w:ascii="Times New Roman" w:hAnsi="Times New Roman" w:cs="Times New Roman"/>
                <w:kern w:val="2"/>
                <w:sz w:val="23"/>
                <w:szCs w:val="23"/>
                <w14:ligatures w14:val="standardContextual"/>
              </w:rPr>
              <w:t>уг</w:t>
            </w:r>
            <w:proofErr w:type="spellEnd"/>
          </w:p>
          <w:p w:rsidR="007451C2" w:rsidRPr="00E4197D" w:rsidRDefault="007451C2" w:rsidP="00B9086D">
            <w:pPr>
              <w:spacing w:after="0"/>
              <w:rPr>
                <w:rFonts w:ascii="Times New Roman" w:hAnsi="Times New Roman" w:cs="Times New Roman"/>
                <w:b/>
                <w:bCs/>
                <w:kern w:val="2"/>
                <w:sz w:val="23"/>
                <w:szCs w:val="23"/>
                <w14:ligatures w14:val="standardContextual"/>
              </w:rPr>
            </w:pP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35 233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35,024</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46 149</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44 285</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83 239</w:t>
            </w:r>
          </w:p>
        </w:tc>
      </w:tr>
      <w:tr w:rsidR="003F5D83" w:rsidRPr="00E4197D" w:rsidTr="00F55F48">
        <w:trPr>
          <w:trHeight w:val="243"/>
        </w:trPr>
        <w:tc>
          <w:tcPr>
            <w:tcW w:w="0" w:type="auto"/>
            <w:hideMark/>
          </w:tcPr>
          <w:p w:rsidR="003F5D83" w:rsidRPr="00E4197D" w:rsidRDefault="003F5D83" w:rsidP="00B9086D">
            <w:pPr>
              <w:spacing w:after="0"/>
              <w:rPr>
                <w:rFonts w:ascii="Times New Roman" w:hAnsi="Times New Roman" w:cs="Times New Roman"/>
                <w:b/>
                <w:bCs/>
                <w:kern w:val="2"/>
                <w:sz w:val="23"/>
                <w:szCs w:val="23"/>
                <w14:ligatures w14:val="standardContextual"/>
              </w:rPr>
            </w:pPr>
            <w:r w:rsidRPr="00E4197D">
              <w:rPr>
                <w:rFonts w:ascii="Times New Roman" w:hAnsi="Times New Roman" w:cs="Times New Roman"/>
                <w:kern w:val="2"/>
                <w:sz w:val="23"/>
                <w:szCs w:val="23"/>
                <w:lang w:val="ru-RU"/>
                <w14:ligatures w14:val="standardContextual"/>
              </w:rPr>
              <w:t>Прочие</w:t>
            </w:r>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виды</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сервисной</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деятельности</w:t>
            </w:r>
            <w:proofErr w:type="spellEnd"/>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34,964</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36,498</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37,513</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32 888</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44 238</w:t>
            </w:r>
          </w:p>
        </w:tc>
      </w:tr>
      <w:tr w:rsidR="003F5D83" w:rsidRPr="00E4197D" w:rsidTr="00F55F48">
        <w:trPr>
          <w:trHeight w:val="762"/>
        </w:trPr>
        <w:tc>
          <w:tcPr>
            <w:tcW w:w="0" w:type="auto"/>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Деятельность домашних хозяйств как работодателей домашнего персонала; производство товаров и услуг для собственного потребления</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17,039</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10 740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11 500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12 570</w:t>
            </w:r>
          </w:p>
        </w:tc>
        <w:tc>
          <w:tcPr>
            <w:tcW w:w="0" w:type="auto"/>
            <w:noWrap/>
            <w:vAlign w:val="bottom"/>
            <w:hideMark/>
          </w:tcPr>
          <w:p w:rsidR="003F5D83" w:rsidRPr="00E4197D" w:rsidRDefault="003F5D83" w:rsidP="00B9086D">
            <w:pPr>
              <w:spacing w:after="0"/>
              <w:jc w:val="right"/>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20,724</w:t>
            </w:r>
          </w:p>
        </w:tc>
      </w:tr>
    </w:tbl>
    <w:p w:rsidR="003F5D83" w:rsidRPr="00E16049" w:rsidRDefault="003F5D83" w:rsidP="003F5D83">
      <w:pPr>
        <w:tabs>
          <w:tab w:val="left" w:pos="8647"/>
        </w:tabs>
        <w:spacing w:after="0" w:line="240" w:lineRule="auto"/>
        <w:ind w:right="-22"/>
        <w:rPr>
          <w:rFonts w:ascii="Times New Roman" w:hAnsi="Times New Roman" w:cs="Times New Roman"/>
          <w:i/>
          <w:iCs/>
          <w:kern w:val="2"/>
          <w:sz w:val="16"/>
          <w:szCs w:val="16"/>
          <w14:ligatures w14:val="standardContextual"/>
        </w:rPr>
      </w:pPr>
      <w:proofErr w:type="spellStart"/>
      <w:r w:rsidRPr="00E16049">
        <w:rPr>
          <w:rFonts w:ascii="Times New Roman" w:hAnsi="Times New Roman" w:cs="Times New Roman"/>
          <w:i/>
          <w:iCs/>
          <w:kern w:val="2"/>
          <w:sz w:val="16"/>
          <w:szCs w:val="16"/>
          <w14:ligatures w14:val="standardContextual"/>
        </w:rPr>
        <w:t>Источник</w:t>
      </w:r>
      <w:proofErr w:type="spellEnd"/>
      <w:r w:rsidRPr="00E16049">
        <w:rPr>
          <w:rFonts w:ascii="Times New Roman" w:hAnsi="Times New Roman" w:cs="Times New Roman"/>
          <w:i/>
          <w:iCs/>
          <w:kern w:val="2"/>
          <w:sz w:val="16"/>
          <w:szCs w:val="16"/>
          <w14:ligatures w14:val="standardContextual"/>
        </w:rPr>
        <w:t xml:space="preserve">: Banca de date </w:t>
      </w:r>
      <w:proofErr w:type="spellStart"/>
      <w:r w:rsidRPr="00E16049">
        <w:rPr>
          <w:rFonts w:ascii="Times New Roman" w:hAnsi="Times New Roman" w:cs="Times New Roman"/>
          <w:i/>
          <w:iCs/>
          <w:kern w:val="2"/>
          <w:sz w:val="16"/>
          <w:szCs w:val="16"/>
          <w14:ligatures w14:val="standardContextual"/>
        </w:rPr>
        <w:t>statistică</w:t>
      </w:r>
      <w:proofErr w:type="spellEnd"/>
      <w:r w:rsidRPr="00E16049">
        <w:rPr>
          <w:rFonts w:ascii="Times New Roman" w:hAnsi="Times New Roman" w:cs="Times New Roman"/>
          <w:i/>
          <w:iCs/>
          <w:kern w:val="2"/>
          <w:sz w:val="16"/>
          <w:szCs w:val="16"/>
          <w14:ligatures w14:val="standardContextual"/>
        </w:rPr>
        <w:t xml:space="preserve"> </w:t>
      </w:r>
      <w:proofErr w:type="spellStart"/>
      <w:r w:rsidRPr="00E16049">
        <w:rPr>
          <w:rFonts w:ascii="Times New Roman" w:hAnsi="Times New Roman" w:cs="Times New Roman"/>
          <w:i/>
          <w:iCs/>
          <w:kern w:val="2"/>
          <w:sz w:val="16"/>
          <w:szCs w:val="16"/>
          <w14:ligatures w14:val="standardContextual"/>
        </w:rPr>
        <w:t>StatBank</w:t>
      </w:r>
      <w:proofErr w:type="spellEnd"/>
      <w:r w:rsidRPr="00E16049">
        <w:rPr>
          <w:rFonts w:ascii="Times New Roman" w:hAnsi="Times New Roman" w:cs="Times New Roman"/>
          <w:i/>
          <w:iCs/>
          <w:kern w:val="2"/>
          <w:sz w:val="16"/>
          <w:szCs w:val="16"/>
          <w14:ligatures w14:val="standardContextual"/>
        </w:rPr>
        <w:t xml:space="preserve">. </w:t>
      </w:r>
      <w:proofErr w:type="spellStart"/>
      <w:r w:rsidRPr="00E16049">
        <w:rPr>
          <w:rFonts w:ascii="Times New Roman" w:hAnsi="Times New Roman" w:cs="Times New Roman"/>
          <w:i/>
          <w:iCs/>
          <w:kern w:val="2"/>
          <w:sz w:val="16"/>
          <w:szCs w:val="16"/>
          <w14:ligatures w14:val="standardContextual"/>
        </w:rPr>
        <w:t>Produsul</w:t>
      </w:r>
      <w:proofErr w:type="spellEnd"/>
      <w:r w:rsidRPr="00E16049">
        <w:rPr>
          <w:rFonts w:ascii="Times New Roman" w:hAnsi="Times New Roman" w:cs="Times New Roman"/>
          <w:i/>
          <w:iCs/>
          <w:kern w:val="2"/>
          <w:sz w:val="16"/>
          <w:szCs w:val="16"/>
          <w14:ligatures w14:val="standardContextual"/>
        </w:rPr>
        <w:t xml:space="preserve"> Intern Brut Regional pe cap de </w:t>
      </w:r>
      <w:proofErr w:type="spellStart"/>
      <w:r w:rsidRPr="00E16049">
        <w:rPr>
          <w:rFonts w:ascii="Times New Roman" w:hAnsi="Times New Roman" w:cs="Times New Roman"/>
          <w:i/>
          <w:iCs/>
          <w:kern w:val="2"/>
          <w:sz w:val="16"/>
          <w:szCs w:val="16"/>
          <w14:ligatures w14:val="standardContextual"/>
        </w:rPr>
        <w:t>locuitor</w:t>
      </w:r>
      <w:proofErr w:type="spellEnd"/>
      <w:r w:rsidRPr="00E16049">
        <w:rPr>
          <w:rFonts w:ascii="Times New Roman" w:hAnsi="Times New Roman" w:cs="Times New Roman"/>
          <w:i/>
          <w:iCs/>
          <w:kern w:val="2"/>
          <w:sz w:val="16"/>
          <w:szCs w:val="16"/>
          <w14:ligatures w14:val="standardContextual"/>
        </w:rPr>
        <w:t xml:space="preserve">, pe </w:t>
      </w:r>
      <w:proofErr w:type="spellStart"/>
      <w:r w:rsidRPr="00E16049">
        <w:rPr>
          <w:rFonts w:ascii="Times New Roman" w:hAnsi="Times New Roman" w:cs="Times New Roman"/>
          <w:i/>
          <w:iCs/>
          <w:kern w:val="2"/>
          <w:sz w:val="16"/>
          <w:szCs w:val="16"/>
          <w14:ligatures w14:val="standardContextual"/>
        </w:rPr>
        <w:t>regiuni</w:t>
      </w:r>
      <w:proofErr w:type="spellEnd"/>
      <w:r w:rsidRPr="00E16049">
        <w:rPr>
          <w:rFonts w:ascii="Times New Roman" w:hAnsi="Times New Roman" w:cs="Times New Roman"/>
          <w:i/>
          <w:iCs/>
          <w:kern w:val="2"/>
          <w:sz w:val="16"/>
          <w:szCs w:val="16"/>
          <w14:ligatures w14:val="standardContextual"/>
        </w:rPr>
        <w:t xml:space="preserve"> de </w:t>
      </w:r>
      <w:proofErr w:type="spellStart"/>
      <w:r w:rsidRPr="00E16049">
        <w:rPr>
          <w:rFonts w:ascii="Times New Roman" w:hAnsi="Times New Roman" w:cs="Times New Roman"/>
          <w:i/>
          <w:iCs/>
          <w:kern w:val="2"/>
          <w:sz w:val="16"/>
          <w:szCs w:val="16"/>
          <w14:ligatures w14:val="standardContextual"/>
        </w:rPr>
        <w:t>dezvoltare</w:t>
      </w:r>
      <w:proofErr w:type="spellEnd"/>
      <w:r w:rsidRPr="00E16049">
        <w:rPr>
          <w:rFonts w:ascii="Times New Roman" w:hAnsi="Times New Roman" w:cs="Times New Roman"/>
          <w:i/>
          <w:iCs/>
          <w:kern w:val="2"/>
          <w:sz w:val="16"/>
          <w:szCs w:val="16"/>
          <w14:ligatures w14:val="standardContextual"/>
        </w:rPr>
        <w:t xml:space="preserve"> </w:t>
      </w:r>
      <w:proofErr w:type="spellStart"/>
      <w:r w:rsidRPr="00E16049">
        <w:rPr>
          <w:rFonts w:ascii="Times New Roman" w:hAnsi="Times New Roman" w:cs="Times New Roman"/>
          <w:i/>
          <w:iCs/>
          <w:kern w:val="2"/>
          <w:sz w:val="16"/>
          <w:szCs w:val="16"/>
          <w14:ligatures w14:val="standardContextual"/>
        </w:rPr>
        <w:t>și</w:t>
      </w:r>
      <w:proofErr w:type="spellEnd"/>
      <w:r w:rsidRPr="00E16049">
        <w:rPr>
          <w:rFonts w:ascii="Times New Roman" w:hAnsi="Times New Roman" w:cs="Times New Roman"/>
          <w:i/>
          <w:iCs/>
          <w:kern w:val="2"/>
          <w:sz w:val="16"/>
          <w:szCs w:val="16"/>
          <w14:ligatures w14:val="standardContextual"/>
        </w:rPr>
        <w:t xml:space="preserve"> ani, 2019–2023 [</w:t>
      </w:r>
      <w:proofErr w:type="spellStart"/>
      <w:r w:rsidRPr="00E16049">
        <w:rPr>
          <w:rFonts w:ascii="Times New Roman" w:hAnsi="Times New Roman" w:cs="Times New Roman"/>
          <w:i/>
          <w:iCs/>
          <w:kern w:val="2"/>
          <w:sz w:val="16"/>
          <w:szCs w:val="16"/>
          <w14:ligatures w14:val="standardContextual"/>
        </w:rPr>
        <w:t>resursă</w:t>
      </w:r>
      <w:proofErr w:type="spellEnd"/>
      <w:r w:rsidRPr="00E16049">
        <w:rPr>
          <w:rFonts w:ascii="Times New Roman" w:hAnsi="Times New Roman" w:cs="Times New Roman"/>
          <w:i/>
          <w:iCs/>
          <w:kern w:val="2"/>
          <w:sz w:val="16"/>
          <w:szCs w:val="16"/>
          <w14:ligatures w14:val="standardContextual"/>
        </w:rPr>
        <w:t xml:space="preserve"> </w:t>
      </w:r>
      <w:proofErr w:type="spellStart"/>
      <w:r w:rsidRPr="00E16049">
        <w:rPr>
          <w:rFonts w:ascii="Times New Roman" w:hAnsi="Times New Roman" w:cs="Times New Roman"/>
          <w:i/>
          <w:iCs/>
          <w:kern w:val="2"/>
          <w:sz w:val="16"/>
          <w:szCs w:val="16"/>
          <w14:ligatures w14:val="standardContextual"/>
        </w:rPr>
        <w:t>electronică</w:t>
      </w:r>
      <w:proofErr w:type="spellEnd"/>
      <w:r w:rsidRPr="00E16049">
        <w:rPr>
          <w:rFonts w:ascii="Times New Roman" w:hAnsi="Times New Roman" w:cs="Times New Roman"/>
          <w:i/>
          <w:iCs/>
          <w:kern w:val="2"/>
          <w:sz w:val="16"/>
          <w:szCs w:val="16"/>
          <w14:ligatures w14:val="standardContextual"/>
        </w:rPr>
        <w:t xml:space="preserve">]. – </w:t>
      </w:r>
      <w:proofErr w:type="spellStart"/>
      <w:r w:rsidRPr="00E16049">
        <w:rPr>
          <w:rFonts w:ascii="Times New Roman" w:hAnsi="Times New Roman" w:cs="Times New Roman"/>
          <w:i/>
          <w:iCs/>
          <w:kern w:val="2"/>
          <w:sz w:val="16"/>
          <w:szCs w:val="16"/>
          <w14:ligatures w14:val="standardContextual"/>
        </w:rPr>
        <w:t>Disponibil</w:t>
      </w:r>
      <w:proofErr w:type="spellEnd"/>
      <w:r w:rsidRPr="00E16049">
        <w:rPr>
          <w:rFonts w:ascii="Times New Roman" w:hAnsi="Times New Roman" w:cs="Times New Roman"/>
          <w:i/>
          <w:iCs/>
          <w:kern w:val="2"/>
          <w:sz w:val="16"/>
          <w:szCs w:val="16"/>
          <w14:ligatures w14:val="standardContextual"/>
        </w:rPr>
        <w:t xml:space="preserve">: </w:t>
      </w:r>
      <w:hyperlink r:id="rId16" w:tgtFrame="_new" w:history="1">
        <w:r w:rsidRPr="00E16049">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https://statbank.statistica.md/PxWeb/pxweb/ro/60%20Statistica%20regionala/60%20Statistica%20regionala__13%20CNT/CNT270100reg.px/table/tableViewLayout2/</w:t>
        </w:r>
      </w:hyperlink>
    </w:p>
    <w:p w:rsidR="003F5D83" w:rsidRPr="00E16049" w:rsidRDefault="003F5D83" w:rsidP="003F5D83">
      <w:pPr>
        <w:tabs>
          <w:tab w:val="left" w:pos="8647"/>
        </w:tabs>
        <w:spacing w:after="0" w:line="240" w:lineRule="auto"/>
        <w:ind w:right="-22"/>
        <w:jc w:val="both"/>
        <w:rPr>
          <w:rFonts w:ascii="Times New Roman" w:hAnsi="Times New Roman" w:cs="Times New Roman"/>
          <w:i/>
          <w:iCs/>
          <w:kern w:val="2"/>
          <w:sz w:val="16"/>
          <w:szCs w:val="16"/>
          <w:lang w:val="ru-RU"/>
          <w14:ligatures w14:val="standardContextual"/>
        </w:rPr>
      </w:pPr>
      <w:r w:rsidRPr="00E16049">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E16049">
        <w:rPr>
          <w:rFonts w:ascii="Times New Roman" w:hAnsi="Times New Roman" w:cs="Times New Roman"/>
          <w:i/>
          <w:iCs/>
          <w:kern w:val="2"/>
          <w:sz w:val="16"/>
          <w:szCs w:val="16"/>
          <w14:ligatures w14:val="standardContextual"/>
        </w:rPr>
        <w:t>StatBank</w:t>
      </w:r>
      <w:proofErr w:type="spellEnd"/>
      <w:r w:rsidRPr="00E16049">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rsidR="00F55F48" w:rsidRDefault="00F55F48"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Анализ РВВП АТО Гагаузия по видам экономической деятельности за 2019–2023 гг. показывает сохранение аграрной направленности экономики при усилении роли сферы услуг. Сельское хозяйство остаётся крупнейшей отраслью (1 187,9 млн леев в 2023 г.), однако его динамика нестабильна (снижение в 2020 г. до 813,8 млн леев с последующим ростом и повторным снижением). </w:t>
      </w:r>
    </w:p>
    <w:p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В то же время наиболее заметный рост демонстрируют торговля (с 368,4 до 673,6 млн леев), транспорт (с 96,1 до 245,2 млн леев) и информация и коммуникации (с 60,4 до 180,6 млн леев), что отражает расширение сервисного сектора. </w:t>
      </w:r>
    </w:p>
    <w:p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Существенное увеличение наблюдается также в операциях с недвижимостью (до 754,9 млн леев), образовании (до 718,4 млн леев) и здравоохранении (до 331,6 млн леев). Промышленность остаётся менее значимой: обрабатывающая отрасль выросла до 839,2 млн леев в 2022 г., но снизилась до 772,2 млн леев в 2023 г. В целом экономика региона демонстрирует постепенную диверсификацию при сохранении высокой зависимости от сельского хозяйства.</w:t>
      </w:r>
    </w:p>
    <w:p w:rsidR="00F55F48" w:rsidRDefault="003F5D83" w:rsidP="00B9086D">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Вместе с тем, для более глубокого анализа структуры региональной экономики важно рассмотреть распределение РВВП в относительных показателях, что позволяет оценить изменение удельного веса отдельных видов экономической деятельности и выявить структурные трансформации.</w:t>
      </w:r>
    </w:p>
    <w:p w:rsidR="007451C2" w:rsidRDefault="007451C2" w:rsidP="00B9086D">
      <w:pPr>
        <w:spacing w:after="0" w:line="240" w:lineRule="auto"/>
        <w:ind w:firstLine="709"/>
        <w:jc w:val="both"/>
        <w:rPr>
          <w:rFonts w:ascii="Times New Roman" w:hAnsi="Times New Roman" w:cs="Times New Roman"/>
          <w:kern w:val="2"/>
          <w:sz w:val="24"/>
          <w:szCs w:val="24"/>
          <w:lang w:val="ru-RU"/>
          <w14:ligatures w14:val="standardContextual"/>
        </w:rPr>
      </w:pPr>
    </w:p>
    <w:p w:rsidR="007451C2" w:rsidRPr="00E4197D" w:rsidRDefault="007451C2" w:rsidP="00B9086D">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E4197D" w:rsidRDefault="003F5D83" w:rsidP="003F5D83">
      <w:pPr>
        <w:spacing w:after="0" w:line="240" w:lineRule="auto"/>
        <w:jc w:val="center"/>
        <w:rPr>
          <w:rFonts w:ascii="Times New Roman" w:eastAsia="Times New Roman" w:hAnsi="Times New Roman" w:cs="Times New Roman"/>
          <w:b/>
          <w:bCs/>
          <w:sz w:val="24"/>
          <w:szCs w:val="24"/>
          <w:lang w:val="ru-RU"/>
        </w:rPr>
      </w:pPr>
      <w:r w:rsidRPr="00E4197D">
        <w:rPr>
          <w:rFonts w:ascii="Times New Roman" w:eastAsia="Times New Roman" w:hAnsi="Times New Roman" w:cs="Times New Roman"/>
          <w:b/>
          <w:bCs/>
          <w:sz w:val="24"/>
          <w:szCs w:val="24"/>
          <w:lang w:val="ru-RU"/>
        </w:rPr>
        <w:t>Таблица</w:t>
      </w:r>
      <w:r>
        <w:rPr>
          <w:rFonts w:ascii="Times New Roman" w:eastAsia="Times New Roman" w:hAnsi="Times New Roman" w:cs="Times New Roman"/>
          <w:b/>
          <w:bCs/>
          <w:sz w:val="24"/>
          <w:szCs w:val="24"/>
          <w:lang w:val="ru-RU"/>
        </w:rPr>
        <w:t xml:space="preserve"> 2.6.</w:t>
      </w:r>
      <w:r w:rsidRPr="00E4197D">
        <w:rPr>
          <w:rFonts w:ascii="Times New Roman" w:eastAsia="Times New Roman" w:hAnsi="Times New Roman" w:cs="Times New Roman"/>
          <w:b/>
          <w:bCs/>
          <w:sz w:val="24"/>
          <w:szCs w:val="24"/>
          <w:lang w:val="ru-RU"/>
        </w:rPr>
        <w:t xml:space="preserve">  Динамика структуры РВВП по видам экономической деятельности в </w:t>
      </w:r>
    </w:p>
    <w:p w:rsidR="003F5D83" w:rsidRPr="00E4197D" w:rsidRDefault="003F5D83" w:rsidP="003F5D83">
      <w:pPr>
        <w:spacing w:after="0" w:line="240" w:lineRule="auto"/>
        <w:jc w:val="center"/>
        <w:rPr>
          <w:rFonts w:ascii="Times New Roman" w:eastAsia="Times New Roman" w:hAnsi="Times New Roman" w:cs="Times New Roman"/>
          <w:b/>
          <w:bCs/>
          <w:sz w:val="24"/>
          <w:szCs w:val="24"/>
          <w:lang w:val="ru-RU"/>
        </w:rPr>
      </w:pPr>
      <w:r w:rsidRPr="00E4197D">
        <w:rPr>
          <w:rFonts w:ascii="Times New Roman" w:eastAsia="Times New Roman" w:hAnsi="Times New Roman" w:cs="Times New Roman"/>
          <w:b/>
          <w:bCs/>
          <w:sz w:val="24"/>
          <w:szCs w:val="24"/>
          <w:lang w:val="ru-RU"/>
        </w:rPr>
        <w:t>АТО Гагаузия, 2019–2023 гг.,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860"/>
        <w:gridCol w:w="709"/>
        <w:gridCol w:w="819"/>
        <w:gridCol w:w="676"/>
        <w:gridCol w:w="676"/>
      </w:tblGrid>
      <w:tr w:rsidR="003F5D83" w:rsidRPr="00E4197D" w:rsidTr="00F55F48">
        <w:trPr>
          <w:trHeight w:val="146"/>
        </w:trPr>
        <w:tc>
          <w:tcPr>
            <w:tcW w:w="5656" w:type="dxa"/>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proofErr w:type="spellStart"/>
            <w:r w:rsidRPr="00E4197D">
              <w:rPr>
                <w:rFonts w:ascii="Times New Roman" w:hAnsi="Times New Roman" w:cs="Times New Roman"/>
                <w:b/>
                <w:bCs/>
                <w:kern w:val="2"/>
                <w:sz w:val="23"/>
                <w:szCs w:val="23"/>
                <w14:ligatures w14:val="standardContextual"/>
              </w:rPr>
              <w:t>Наименование</w:t>
            </w:r>
            <w:proofErr w:type="spellEnd"/>
            <w:r w:rsidRPr="00E4197D">
              <w:rPr>
                <w:rFonts w:ascii="Times New Roman" w:hAnsi="Times New Roman" w:cs="Times New Roman"/>
                <w:b/>
                <w:bCs/>
                <w:kern w:val="2"/>
                <w:sz w:val="23"/>
                <w:szCs w:val="23"/>
                <w14:ligatures w14:val="standardContextual"/>
              </w:rPr>
              <w:t xml:space="preserve"> </w:t>
            </w:r>
            <w:proofErr w:type="spellStart"/>
            <w:r w:rsidRPr="00E4197D">
              <w:rPr>
                <w:rFonts w:ascii="Times New Roman" w:hAnsi="Times New Roman" w:cs="Times New Roman"/>
                <w:b/>
                <w:bCs/>
                <w:kern w:val="2"/>
                <w:sz w:val="23"/>
                <w:szCs w:val="23"/>
                <w14:ligatures w14:val="standardContextual"/>
              </w:rPr>
              <w:t>экономической</w:t>
            </w:r>
            <w:proofErr w:type="spellEnd"/>
            <w:r w:rsidRPr="00E4197D">
              <w:rPr>
                <w:rFonts w:ascii="Times New Roman" w:hAnsi="Times New Roman" w:cs="Times New Roman"/>
                <w:b/>
                <w:bCs/>
                <w:kern w:val="2"/>
                <w:sz w:val="23"/>
                <w:szCs w:val="23"/>
                <w14:ligatures w14:val="standardContextual"/>
              </w:rPr>
              <w:t xml:space="preserve"> </w:t>
            </w:r>
            <w:proofErr w:type="spellStart"/>
            <w:r w:rsidRPr="00E4197D">
              <w:rPr>
                <w:rFonts w:ascii="Times New Roman" w:hAnsi="Times New Roman" w:cs="Times New Roman"/>
                <w:b/>
                <w:bCs/>
                <w:kern w:val="2"/>
                <w:sz w:val="23"/>
                <w:szCs w:val="23"/>
                <w14:ligatures w14:val="standardContextual"/>
              </w:rPr>
              <w:t>деятельности</w:t>
            </w:r>
            <w:proofErr w:type="spellEnd"/>
          </w:p>
        </w:tc>
        <w:tc>
          <w:tcPr>
            <w:tcW w:w="860" w:type="dxa"/>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2019</w:t>
            </w:r>
          </w:p>
        </w:tc>
        <w:tc>
          <w:tcPr>
            <w:tcW w:w="709" w:type="dxa"/>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2020</w:t>
            </w:r>
          </w:p>
        </w:tc>
        <w:tc>
          <w:tcPr>
            <w:tcW w:w="819" w:type="dxa"/>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2021</w:t>
            </w:r>
          </w:p>
        </w:tc>
        <w:tc>
          <w:tcPr>
            <w:tcW w:w="0" w:type="auto"/>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2022</w:t>
            </w:r>
          </w:p>
        </w:tc>
        <w:tc>
          <w:tcPr>
            <w:tcW w:w="0" w:type="auto"/>
            <w:vAlign w:val="center"/>
            <w:hideMark/>
          </w:tcPr>
          <w:p w:rsidR="003F5D83" w:rsidRPr="00E4197D" w:rsidRDefault="003F5D83" w:rsidP="00B9086D">
            <w:pPr>
              <w:spacing w:after="0"/>
              <w:jc w:val="center"/>
              <w:rPr>
                <w:rFonts w:ascii="Times New Roman" w:hAnsi="Times New Roman" w:cs="Times New Roman"/>
                <w:b/>
                <w:bCs/>
                <w:kern w:val="2"/>
                <w:sz w:val="23"/>
                <w:szCs w:val="23"/>
                <w14:ligatures w14:val="standardContextual"/>
              </w:rPr>
            </w:pPr>
            <w:r w:rsidRPr="00E4197D">
              <w:rPr>
                <w:rFonts w:ascii="Times New Roman" w:hAnsi="Times New Roman" w:cs="Times New Roman"/>
                <w:b/>
                <w:bCs/>
                <w:kern w:val="2"/>
                <w:sz w:val="23"/>
                <w:szCs w:val="23"/>
                <w14:ligatures w14:val="standardContextual"/>
              </w:rPr>
              <w:t>2023</w:t>
            </w:r>
          </w:p>
        </w:tc>
      </w:tr>
      <w:tr w:rsidR="003F5D83" w:rsidRPr="00E4197D" w:rsidTr="00F55F48">
        <w:trPr>
          <w:trHeight w:val="246"/>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Сельское хозяйство, лесное хозяйство и рыболовство</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20,9</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17,7</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23,0</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20,5</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16,6</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Добывающая</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промышленность</w:t>
            </w:r>
            <w:proofErr w:type="spellEnd"/>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0,1</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0,1</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0,1</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0,1</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0,0</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lang w:val="ru-RU"/>
                <w14:ligatures w14:val="standardContextual"/>
              </w:rPr>
              <w:t>Обрабатывающая</w:t>
            </w:r>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отрасль</w:t>
            </w:r>
            <w:proofErr w:type="spellEnd"/>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14,1</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14,9</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14,1</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13,5</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10,8</w:t>
            </w:r>
          </w:p>
        </w:tc>
      </w:tr>
      <w:tr w:rsidR="003F5D83" w:rsidRPr="00E4197D" w:rsidTr="00F55F48">
        <w:trPr>
          <w:trHeight w:val="516"/>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lastRenderedPageBreak/>
              <w:t>Производство и снабжение электроэнергией, тепловой энергией, газом, горячей водой и кондиционированным воздухом</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2,3</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1,5</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1,6</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Водоснабжение; санитария, управление отходами и деятельность по ликвидации загрязнений</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0,9</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r>
      <w:tr w:rsidR="003F5D83" w:rsidRPr="00E4197D" w:rsidTr="00F55F48">
        <w:trPr>
          <w:trHeight w:val="246"/>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proofErr w:type="spellStart"/>
            <w:r w:rsidRPr="00E4197D">
              <w:rPr>
                <w:rFonts w:ascii="Times New Roman" w:hAnsi="Times New Roman" w:cs="Times New Roman"/>
                <w:kern w:val="2"/>
                <w:sz w:val="23"/>
                <w:szCs w:val="23"/>
                <w14:ligatures w14:val="standardContextual"/>
              </w:rPr>
              <w:t>Строительство</w:t>
            </w:r>
            <w:proofErr w:type="spellEnd"/>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6,7</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7,8</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6,5</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6,8</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6,1</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Оптовая и розничная торговля; техническое обслуживание и ремонт автомобилей и мотоциклов.</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7,7</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8,0</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7,4</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9,3</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9,4</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proofErr w:type="spellStart"/>
            <w:r w:rsidRPr="00E4197D">
              <w:rPr>
                <w:rFonts w:ascii="Times New Roman" w:hAnsi="Times New Roman" w:cs="Times New Roman"/>
                <w:kern w:val="2"/>
                <w:sz w:val="23"/>
                <w:szCs w:val="23"/>
                <w14:ligatures w14:val="standardContextual"/>
              </w:rPr>
              <w:t>Транспортировка</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хранение</w:t>
            </w:r>
            <w:proofErr w:type="spellEnd"/>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1,9</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2,0</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2,4</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3,4</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Размещение и организация общественного питания</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0,9</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Информация</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коммуникации</w:t>
            </w:r>
            <w:proofErr w:type="spellEnd"/>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1,3</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1,3</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1,2</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1,4</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2,5</w:t>
            </w:r>
          </w:p>
        </w:tc>
      </w:tr>
      <w:tr w:rsidR="003F5D83" w:rsidRPr="00E4197D" w:rsidTr="00F55F48">
        <w:trPr>
          <w:trHeight w:val="246"/>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Финансовая и страховая деятельность</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2,1</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2,2</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1,9</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2,2</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2,1</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Сделки</w:t>
            </w:r>
            <w:proofErr w:type="spellEnd"/>
            <w:r w:rsidRPr="00E4197D">
              <w:rPr>
                <w:rFonts w:ascii="Times New Roman" w:hAnsi="Times New Roman" w:cs="Times New Roman"/>
                <w:kern w:val="2"/>
                <w:sz w:val="23"/>
                <w:szCs w:val="23"/>
                <w14:ligatures w14:val="standardContextual"/>
              </w:rPr>
              <w:t xml:space="preserve"> с </w:t>
            </w:r>
            <w:proofErr w:type="spellStart"/>
            <w:r w:rsidRPr="00E4197D">
              <w:rPr>
                <w:rFonts w:ascii="Times New Roman" w:hAnsi="Times New Roman" w:cs="Times New Roman"/>
                <w:kern w:val="2"/>
                <w:sz w:val="23"/>
                <w:szCs w:val="23"/>
                <w14:ligatures w14:val="standardContextual"/>
              </w:rPr>
              <w:t>недвижимостью</w:t>
            </w:r>
            <w:proofErr w:type="spellEnd"/>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10,3</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11,0</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9,1</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9,6</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10,5</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Профессиональная, научно-техническая деятельность</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Административная и вспомогательная деятельность.</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0,6</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Государственное управление и оборона; обязательное социальное страхование.</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3,8</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4,4</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3,7</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3,6</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3,9</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Образование</w:t>
            </w:r>
            <w:proofErr w:type="spellEnd"/>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7,2</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7,9</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7,3</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7,9</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10,0</w:t>
            </w:r>
          </w:p>
        </w:tc>
      </w:tr>
      <w:tr w:rsidR="003F5D83" w:rsidRPr="00E4197D" w:rsidTr="00F55F48">
        <w:trPr>
          <w:trHeight w:val="246"/>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Здравоохранение и социальная помощь</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3,1</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3,2</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3,5</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3,4</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4,6</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14:ligatures w14:val="standardContextual"/>
              </w:rPr>
            </w:pPr>
            <w:proofErr w:type="spellStart"/>
            <w:r w:rsidRPr="00E4197D">
              <w:rPr>
                <w:rFonts w:ascii="Times New Roman" w:hAnsi="Times New Roman" w:cs="Times New Roman"/>
                <w:kern w:val="2"/>
                <w:sz w:val="23"/>
                <w:szCs w:val="23"/>
                <w14:ligatures w14:val="standardContextual"/>
              </w:rPr>
              <w:t>Искусство</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отдых</w:t>
            </w:r>
            <w:proofErr w:type="spellEnd"/>
            <w:r w:rsidRPr="00E4197D">
              <w:rPr>
                <w:rFonts w:ascii="Times New Roman" w:hAnsi="Times New Roman" w:cs="Times New Roman"/>
                <w:kern w:val="2"/>
                <w:sz w:val="23"/>
                <w:szCs w:val="23"/>
                <w14:ligatures w14:val="standardContextual"/>
              </w:rPr>
              <w:t xml:space="preserve"> и </w:t>
            </w:r>
            <w:proofErr w:type="spellStart"/>
            <w:r w:rsidRPr="00E4197D">
              <w:rPr>
                <w:rFonts w:ascii="Times New Roman" w:hAnsi="Times New Roman" w:cs="Times New Roman"/>
                <w:kern w:val="2"/>
                <w:sz w:val="23"/>
                <w:szCs w:val="23"/>
                <w14:ligatures w14:val="standardContextual"/>
              </w:rPr>
              <w:t>досуг</w:t>
            </w:r>
            <w:proofErr w:type="spellEnd"/>
            <w:r w:rsidRPr="00E4197D">
              <w:rPr>
                <w:rFonts w:ascii="Times New Roman" w:hAnsi="Times New Roman" w:cs="Times New Roman"/>
                <w:kern w:val="2"/>
                <w:sz w:val="23"/>
                <w:szCs w:val="23"/>
                <w14:ligatures w14:val="standardContextual"/>
              </w:rPr>
              <w:t>.</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1,2</w:t>
            </w:r>
          </w:p>
        </w:tc>
      </w:tr>
      <w:tr w:rsidR="003F5D83" w:rsidRPr="00E4197D" w:rsidTr="00F55F48">
        <w:trPr>
          <w:trHeight w:val="257"/>
        </w:trPr>
        <w:tc>
          <w:tcPr>
            <w:tcW w:w="5656" w:type="dxa"/>
            <w:hideMark/>
          </w:tcPr>
          <w:p w:rsidR="003F5D83" w:rsidRPr="00E4197D" w:rsidRDefault="003F5D83" w:rsidP="00B9086D">
            <w:pPr>
              <w:spacing w:after="0"/>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lang w:val="ru-RU"/>
                <w14:ligatures w14:val="standardContextual"/>
              </w:rPr>
              <w:t>Прочие</w:t>
            </w:r>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виды</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сервисной</w:t>
            </w:r>
            <w:proofErr w:type="spellEnd"/>
            <w:r w:rsidRPr="00E4197D">
              <w:rPr>
                <w:rFonts w:ascii="Times New Roman" w:hAnsi="Times New Roman" w:cs="Times New Roman"/>
                <w:kern w:val="2"/>
                <w:sz w:val="23"/>
                <w:szCs w:val="23"/>
                <w14:ligatures w14:val="standardContextual"/>
              </w:rPr>
              <w:t xml:space="preserve"> </w:t>
            </w:r>
            <w:proofErr w:type="spellStart"/>
            <w:r w:rsidRPr="00E4197D">
              <w:rPr>
                <w:rFonts w:ascii="Times New Roman" w:hAnsi="Times New Roman" w:cs="Times New Roman"/>
                <w:kern w:val="2"/>
                <w:sz w:val="23"/>
                <w:szCs w:val="23"/>
                <w14:ligatures w14:val="standardContextual"/>
              </w:rPr>
              <w:t>деятельности</w:t>
            </w:r>
            <w:proofErr w:type="spellEnd"/>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0,8</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0,7</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0,5</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0,6</w:t>
            </w:r>
          </w:p>
        </w:tc>
      </w:tr>
      <w:tr w:rsidR="003F5D83" w:rsidRPr="00E4197D" w:rsidTr="00F55F48">
        <w:trPr>
          <w:trHeight w:val="516"/>
        </w:trPr>
        <w:tc>
          <w:tcPr>
            <w:tcW w:w="5656" w:type="dxa"/>
            <w:hideMark/>
          </w:tcPr>
          <w:p w:rsidR="003F5D83" w:rsidRPr="00E4197D" w:rsidRDefault="003F5D83" w:rsidP="00B9086D">
            <w:pPr>
              <w:spacing w:after="0"/>
              <w:rPr>
                <w:rFonts w:ascii="Times New Roman" w:hAnsi="Times New Roman" w:cs="Times New Roman"/>
                <w:kern w:val="2"/>
                <w:sz w:val="23"/>
                <w:szCs w:val="23"/>
                <w:lang w:val="ru-RU"/>
                <w14:ligatures w14:val="standardContextual"/>
              </w:rPr>
            </w:pPr>
            <w:r w:rsidRPr="00E4197D">
              <w:rPr>
                <w:rFonts w:ascii="Times New Roman" w:hAnsi="Times New Roman" w:cs="Times New Roman"/>
                <w:kern w:val="2"/>
                <w:sz w:val="23"/>
                <w:szCs w:val="23"/>
                <w:lang w:val="ru-RU"/>
                <w14:ligatures w14:val="standardContextual"/>
              </w:rPr>
              <w:t>Деятельность домашних хозяйств как работодателей домашнего персонала; производство товаров и услуг для собственного потребления</w:t>
            </w:r>
          </w:p>
        </w:tc>
        <w:tc>
          <w:tcPr>
            <w:tcW w:w="860"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0,4</w:t>
            </w:r>
          </w:p>
        </w:tc>
        <w:tc>
          <w:tcPr>
            <w:tcW w:w="70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0,2</w:t>
            </w:r>
          </w:p>
        </w:tc>
        <w:tc>
          <w:tcPr>
            <w:tcW w:w="819" w:type="dxa"/>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0,2</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0,2</w:t>
            </w:r>
          </w:p>
        </w:tc>
        <w:tc>
          <w:tcPr>
            <w:tcW w:w="0" w:type="auto"/>
            <w:noWrap/>
            <w:vAlign w:val="center"/>
            <w:hideMark/>
          </w:tcPr>
          <w:p w:rsidR="003F5D83" w:rsidRPr="00E4197D" w:rsidRDefault="003F5D83" w:rsidP="00B9086D">
            <w:pPr>
              <w:spacing w:after="0"/>
              <w:jc w:val="center"/>
              <w:rPr>
                <w:rFonts w:ascii="Times New Roman" w:hAnsi="Times New Roman" w:cs="Times New Roman"/>
                <w:kern w:val="2"/>
                <w:sz w:val="23"/>
                <w:szCs w:val="23"/>
                <w14:ligatures w14:val="standardContextual"/>
              </w:rPr>
            </w:pPr>
            <w:r w:rsidRPr="00E4197D">
              <w:rPr>
                <w:rFonts w:ascii="Times New Roman" w:hAnsi="Times New Roman" w:cs="Times New Roman"/>
                <w:kern w:val="2"/>
                <w:sz w:val="23"/>
                <w:szCs w:val="23"/>
                <w14:ligatures w14:val="standardContextual"/>
              </w:rPr>
              <w:t>0,3</w:t>
            </w:r>
          </w:p>
        </w:tc>
      </w:tr>
    </w:tbl>
    <w:p w:rsidR="003F5D83" w:rsidRPr="00B81DB2"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B81DB2">
        <w:rPr>
          <w:rFonts w:ascii="Times New Roman" w:hAnsi="Times New Roman" w:cs="Times New Roman"/>
          <w:i/>
          <w:iCs/>
          <w:kern w:val="2"/>
          <w:sz w:val="16"/>
          <w:szCs w:val="16"/>
          <w14:ligatures w14:val="standardContextual"/>
        </w:rPr>
        <w:t>Источник</w:t>
      </w:r>
      <w:proofErr w:type="spellEnd"/>
      <w:r w:rsidRPr="00B81DB2">
        <w:rPr>
          <w:rFonts w:ascii="Times New Roman" w:hAnsi="Times New Roman" w:cs="Times New Roman"/>
          <w:i/>
          <w:iCs/>
          <w:kern w:val="2"/>
          <w:sz w:val="16"/>
          <w:szCs w:val="16"/>
          <w14:ligatures w14:val="standardContextual"/>
        </w:rPr>
        <w:t xml:space="preserve">: Banca de date </w:t>
      </w:r>
      <w:proofErr w:type="spellStart"/>
      <w:r w:rsidRPr="00B81DB2">
        <w:rPr>
          <w:rFonts w:ascii="Times New Roman" w:hAnsi="Times New Roman" w:cs="Times New Roman"/>
          <w:i/>
          <w:iCs/>
          <w:kern w:val="2"/>
          <w:sz w:val="16"/>
          <w:szCs w:val="16"/>
          <w14:ligatures w14:val="standardContextual"/>
        </w:rPr>
        <w:t>statistică</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StatBank</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Structura</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Produsului</w:t>
      </w:r>
      <w:proofErr w:type="spellEnd"/>
      <w:r w:rsidRPr="00B81DB2">
        <w:rPr>
          <w:rFonts w:ascii="Times New Roman" w:hAnsi="Times New Roman" w:cs="Times New Roman"/>
          <w:i/>
          <w:iCs/>
          <w:kern w:val="2"/>
          <w:sz w:val="16"/>
          <w:szCs w:val="16"/>
          <w14:ligatures w14:val="standardContextual"/>
        </w:rPr>
        <w:t xml:space="preserve"> Intern Brut Regional pe </w:t>
      </w:r>
      <w:proofErr w:type="spellStart"/>
      <w:r w:rsidRPr="00B81DB2">
        <w:rPr>
          <w:rFonts w:ascii="Times New Roman" w:hAnsi="Times New Roman" w:cs="Times New Roman"/>
          <w:i/>
          <w:iCs/>
          <w:kern w:val="2"/>
          <w:sz w:val="16"/>
          <w:szCs w:val="16"/>
          <w14:ligatures w14:val="standardContextual"/>
        </w:rPr>
        <w:t>activități</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economice</w:t>
      </w:r>
      <w:proofErr w:type="spellEnd"/>
      <w:r w:rsidRPr="00B81DB2">
        <w:rPr>
          <w:rFonts w:ascii="Times New Roman" w:hAnsi="Times New Roman" w:cs="Times New Roman"/>
          <w:i/>
          <w:iCs/>
          <w:kern w:val="2"/>
          <w:sz w:val="16"/>
          <w:szCs w:val="16"/>
          <w14:ligatures w14:val="standardContextual"/>
        </w:rPr>
        <w:t>, %, 2019–2023 [</w:t>
      </w:r>
      <w:proofErr w:type="spellStart"/>
      <w:r w:rsidRPr="00B81DB2">
        <w:rPr>
          <w:rFonts w:ascii="Times New Roman" w:hAnsi="Times New Roman" w:cs="Times New Roman"/>
          <w:i/>
          <w:iCs/>
          <w:kern w:val="2"/>
          <w:sz w:val="16"/>
          <w:szCs w:val="16"/>
          <w14:ligatures w14:val="standardContextual"/>
        </w:rPr>
        <w:t>resursă</w:t>
      </w:r>
      <w:proofErr w:type="spellEnd"/>
      <w:r w:rsidRPr="00B81DB2">
        <w:rPr>
          <w:rFonts w:ascii="Times New Roman" w:hAnsi="Times New Roman" w:cs="Times New Roman"/>
          <w:i/>
          <w:iCs/>
          <w:kern w:val="2"/>
          <w:sz w:val="16"/>
          <w:szCs w:val="16"/>
          <w14:ligatures w14:val="standardContextual"/>
        </w:rPr>
        <w:t xml:space="preserve"> </w:t>
      </w:r>
      <w:proofErr w:type="spellStart"/>
      <w:r w:rsidRPr="00B81DB2">
        <w:rPr>
          <w:rFonts w:ascii="Times New Roman" w:hAnsi="Times New Roman" w:cs="Times New Roman"/>
          <w:i/>
          <w:iCs/>
          <w:kern w:val="2"/>
          <w:sz w:val="16"/>
          <w:szCs w:val="16"/>
          <w14:ligatures w14:val="standardContextual"/>
        </w:rPr>
        <w:t>el</w:t>
      </w:r>
      <w:r w:rsidR="00B9086D">
        <w:rPr>
          <w:rFonts w:ascii="Times New Roman" w:hAnsi="Times New Roman" w:cs="Times New Roman"/>
          <w:i/>
          <w:iCs/>
          <w:kern w:val="2"/>
          <w:sz w:val="16"/>
          <w:szCs w:val="16"/>
          <w14:ligatures w14:val="standardContextual"/>
        </w:rPr>
        <w:t>ectronică</w:t>
      </w:r>
      <w:proofErr w:type="spellEnd"/>
      <w:r w:rsidR="00B9086D">
        <w:rPr>
          <w:rFonts w:ascii="Times New Roman" w:hAnsi="Times New Roman" w:cs="Times New Roman"/>
          <w:i/>
          <w:iCs/>
          <w:kern w:val="2"/>
          <w:sz w:val="16"/>
          <w:szCs w:val="16"/>
          <w14:ligatures w14:val="standardContextual"/>
        </w:rPr>
        <w:t xml:space="preserve">]. – </w:t>
      </w:r>
      <w:proofErr w:type="spellStart"/>
      <w:r w:rsidR="00B9086D">
        <w:rPr>
          <w:rFonts w:ascii="Times New Roman" w:hAnsi="Times New Roman" w:cs="Times New Roman"/>
          <w:i/>
          <w:iCs/>
          <w:kern w:val="2"/>
          <w:sz w:val="16"/>
          <w:szCs w:val="16"/>
          <w14:ligatures w14:val="standardContextual"/>
        </w:rPr>
        <w:t>Disponibil</w:t>
      </w:r>
      <w:proofErr w:type="spellEnd"/>
      <w:r w:rsidR="00B9086D">
        <w:rPr>
          <w:rFonts w:ascii="Times New Roman" w:hAnsi="Times New Roman" w:cs="Times New Roman"/>
          <w:i/>
          <w:iCs/>
          <w:kern w:val="2"/>
          <w:sz w:val="16"/>
          <w:szCs w:val="16"/>
          <w14:ligatures w14:val="standardContextual"/>
        </w:rPr>
        <w:t>:</w:t>
      </w:r>
      <w:r w:rsidR="00B9086D" w:rsidRPr="00B9086D">
        <w:rPr>
          <w:rFonts w:ascii="Times New Roman" w:hAnsi="Times New Roman" w:cs="Times New Roman"/>
          <w:i/>
          <w:iCs/>
          <w:kern w:val="2"/>
          <w:sz w:val="16"/>
          <w:szCs w:val="16"/>
          <w14:ligatures w14:val="standardContextual"/>
        </w:rPr>
        <w:t xml:space="preserve"> </w:t>
      </w:r>
      <w:hyperlink r:id="rId17" w:tgtFrame="_new" w:history="1">
        <w:r w:rsidRPr="00B81DB2">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https://statbank.statistica.md/PxWeb/pxweb/ro/60%20Statistica%20regionala/60%20Statistica%20regionala__13%20CNT/CNT270200reg.px/</w:t>
        </w:r>
      </w:hyperlink>
      <w:r w:rsidRPr="00B81DB2">
        <w:rPr>
          <w:rFonts w:ascii="Times New Roman" w:hAnsi="Times New Roman" w:cs="Times New Roman"/>
          <w:i/>
          <w:iCs/>
          <w:kern w:val="2"/>
          <w:sz w:val="16"/>
          <w:szCs w:val="16"/>
          <w14:ligatures w14:val="standardContextual"/>
        </w:rPr>
        <w:t xml:space="preserve"> </w:t>
      </w:r>
    </w:p>
    <w:p w:rsidR="003F5D83" w:rsidRPr="00B81DB2"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B81DB2">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B81DB2">
        <w:rPr>
          <w:rFonts w:ascii="Times New Roman" w:hAnsi="Times New Roman" w:cs="Times New Roman"/>
          <w:i/>
          <w:iCs/>
          <w:kern w:val="2"/>
          <w:sz w:val="16"/>
          <w:szCs w:val="16"/>
          <w14:ligatures w14:val="standardContextual"/>
        </w:rPr>
        <w:t>StatBank</w:t>
      </w:r>
      <w:proofErr w:type="spellEnd"/>
      <w:r w:rsidRPr="00B81DB2">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rsidR="002614CD" w:rsidRDefault="002614CD"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E4197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4197D">
        <w:rPr>
          <w:rFonts w:ascii="Times New Roman" w:hAnsi="Times New Roman" w:cs="Times New Roman"/>
          <w:kern w:val="2"/>
          <w:sz w:val="24"/>
          <w:szCs w:val="24"/>
          <w:lang w:val="ru-RU"/>
          <w14:ligatures w14:val="standardContextual"/>
        </w:rPr>
        <w:t xml:space="preserve">Анализ структуры РВВП АТО Гагаузия за 2019–2023 гг. подтверждает сохранение аграрной направленности экономики при одновременном усилении роли сектора услуг. Несмотря на доминирование сельского хозяйства, его удельный вес снизился с 20,9% в 2019 г. до 16,6% в 2023 г., что свидетельствует о постепенном снижении зависимости экономики от аграрного сектора. </w:t>
      </w:r>
    </w:p>
    <w:p w:rsidR="003F5D83" w:rsidRPr="00E4197D" w:rsidRDefault="003F5D83" w:rsidP="003F5D83">
      <w:pPr>
        <w:spacing w:after="0" w:line="240" w:lineRule="auto"/>
        <w:ind w:firstLine="709"/>
        <w:jc w:val="both"/>
        <w:rPr>
          <w:rFonts w:ascii="Times New Roman" w:eastAsia="Times New Roman" w:hAnsi="Times New Roman" w:cs="Times New Roman"/>
          <w:sz w:val="24"/>
          <w:szCs w:val="24"/>
          <w:lang w:val="ru-RU"/>
        </w:rPr>
      </w:pPr>
      <w:r w:rsidRPr="00E4197D">
        <w:rPr>
          <w:rFonts w:ascii="Times New Roman" w:eastAsia="Times New Roman" w:hAnsi="Times New Roman" w:cs="Times New Roman"/>
          <w:sz w:val="24"/>
          <w:szCs w:val="24"/>
          <w:lang w:val="ru-RU"/>
        </w:rPr>
        <w:t>Особое внимание заслуживает динамика отдельных быстрорастущих отраслей. Так, транспорт и складирование увеличили свою долю с 2,0% до 3,4% при более</w:t>
      </w:r>
      <w:r>
        <w:rPr>
          <w:rFonts w:ascii="Times New Roman" w:eastAsia="Times New Roman" w:hAnsi="Times New Roman" w:cs="Times New Roman"/>
          <w:sz w:val="24"/>
          <w:szCs w:val="24"/>
          <w:lang w:val="ru-RU"/>
        </w:rPr>
        <w:t>,</w:t>
      </w:r>
      <w:r w:rsidRPr="00E4197D">
        <w:rPr>
          <w:rFonts w:ascii="Times New Roman" w:eastAsia="Times New Roman" w:hAnsi="Times New Roman" w:cs="Times New Roman"/>
          <w:sz w:val="24"/>
          <w:szCs w:val="24"/>
          <w:lang w:val="ru-RU"/>
        </w:rPr>
        <w:t xml:space="preserve"> чем двукратном росте объёмов (с 96,1 до 245,2 млн леев), существенный рост демонстрирует сектор информации и коммуникаций — доля увеличилась с 1,3% до 2,5%, а объёмы почти утроились (до 180,6 млн леев), что отражает процессы цифровизации экономики.</w:t>
      </w:r>
    </w:p>
    <w:p w:rsidR="003F5D83" w:rsidRPr="00E4197D" w:rsidRDefault="003F5D83" w:rsidP="003F5D83">
      <w:pPr>
        <w:spacing w:after="0" w:line="240" w:lineRule="auto"/>
        <w:ind w:firstLine="709"/>
        <w:jc w:val="both"/>
        <w:rPr>
          <w:rFonts w:ascii="Times New Roman" w:eastAsia="Times New Roman" w:hAnsi="Times New Roman" w:cs="Times New Roman"/>
          <w:sz w:val="24"/>
          <w:szCs w:val="24"/>
          <w:lang w:val="ru-RU"/>
        </w:rPr>
      </w:pPr>
      <w:r w:rsidRPr="00E4197D">
        <w:rPr>
          <w:rFonts w:ascii="Times New Roman" w:eastAsia="Times New Roman" w:hAnsi="Times New Roman" w:cs="Times New Roman"/>
          <w:sz w:val="24"/>
          <w:szCs w:val="24"/>
          <w:lang w:val="ru-RU"/>
        </w:rPr>
        <w:t>В социальной сфере наблюдается значительное увеличение доли образования (с 7,2% до 10,0%, объём — 718,4 млн леев), здравоохранения и социальной помощи (с 3,1% до 4,6%, объём — 331,6 млн леев), что связано с ростом бюджетных расходов.</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E4197D">
        <w:rPr>
          <w:rFonts w:ascii="Times New Roman" w:eastAsia="Times New Roman" w:hAnsi="Times New Roman" w:cs="Times New Roman"/>
          <w:sz w:val="24"/>
          <w:szCs w:val="24"/>
          <w:lang w:val="ru-RU"/>
        </w:rPr>
        <w:t>Таким образом, структура РВВП АТО Гагаузия характеризуется снижением относительной роли аграрного и промышленного секторов при одновременном усилении сектора услуг</w:t>
      </w:r>
      <w:r>
        <w:rPr>
          <w:rFonts w:ascii="Times New Roman" w:eastAsia="Times New Roman" w:hAnsi="Times New Roman" w:cs="Times New Roman"/>
          <w:sz w:val="24"/>
          <w:szCs w:val="24"/>
          <w:lang w:val="ru-RU"/>
        </w:rPr>
        <w:t xml:space="preserve"> в экономике региона</w:t>
      </w:r>
      <w:r w:rsidRPr="00E4197D">
        <w:rPr>
          <w:rFonts w:ascii="Times New Roman" w:eastAsia="Times New Roman" w:hAnsi="Times New Roman" w:cs="Times New Roman"/>
          <w:sz w:val="24"/>
          <w:szCs w:val="24"/>
          <w:lang w:val="ru-RU"/>
        </w:rPr>
        <w:t>. В качестве перспективных направлений развития экономики региона целесообразно выделить обрабатывающую промышленность с более высокой степенью переработки, логистику и транспорт, сферу информационных и коммуникационных технологий, а также торговлю и услуги, ориентированные на внутренний и внешний рынки. Развитие данных видов деятельности может способствовать повышению добавленной стоимости, росту занятости и укреплению экономического потенциала АТО Гагаузия.</w:t>
      </w:r>
    </w:p>
    <w:p w:rsidR="003F5D83" w:rsidRDefault="003F5D83" w:rsidP="002E79D5">
      <w:pPr>
        <w:shd w:val="clear" w:color="auto" w:fill="FFFFFF"/>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 xml:space="preserve">Далее представим динамику количества предприятий по регионам развития </w:t>
      </w:r>
      <w:r w:rsidR="001F0E6B" w:rsidRPr="007451C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рис. 2.3) </w:t>
      </w:r>
    </w:p>
    <w:p w:rsidR="007451C2" w:rsidRPr="00315592" w:rsidRDefault="007451C2" w:rsidP="003F5D83">
      <w:pPr>
        <w:shd w:val="clear" w:color="auto" w:fill="FFFFFF"/>
        <w:spacing w:after="0" w:line="240" w:lineRule="auto"/>
        <w:ind w:firstLine="709"/>
        <w:jc w:val="both"/>
        <w:rPr>
          <w:rFonts w:ascii="Times New Roman" w:eastAsiaTheme="majorEastAsia" w:hAnsi="Times New Roman" w:cs="Times New Roman"/>
          <w:color w:val="1C1C1C"/>
          <w:sz w:val="24"/>
          <w:szCs w:val="24"/>
          <w:lang w:val="ru-RU"/>
        </w:rPr>
      </w:pPr>
    </w:p>
    <w:p w:rsidR="003F5D83" w:rsidRPr="00315592" w:rsidRDefault="003F5D83" w:rsidP="003F5D83">
      <w:pPr>
        <w:shd w:val="clear" w:color="auto" w:fill="FFFFFF"/>
        <w:spacing w:after="0" w:line="240" w:lineRule="auto"/>
        <w:jc w:val="both"/>
        <w:rPr>
          <w:rFonts w:ascii="Times New Roman" w:eastAsia="Times New Roman" w:hAnsi="Times New Roman" w:cs="Times New Roman"/>
          <w:color w:val="1C1C1C"/>
          <w:sz w:val="24"/>
          <w:szCs w:val="24"/>
          <w:lang w:val="ru-RU"/>
        </w:rPr>
      </w:pPr>
      <w:r>
        <w:rPr>
          <w:noProof/>
          <w:lang w:val="ru-RU" w:eastAsia="ru-RU"/>
          <w14:ligatures w14:val="standardContextual"/>
        </w:rPr>
        <w:drawing>
          <wp:inline distT="0" distB="0" distL="0" distR="0" wp14:anchorId="12DE95A7" wp14:editId="001FDDB2">
            <wp:extent cx="5857875" cy="2714625"/>
            <wp:effectExtent l="0" t="0" r="9525" b="9525"/>
            <wp:docPr id="208794457" name="Диаграмма 1">
              <a:extLst xmlns:a="http://schemas.openxmlformats.org/drawingml/2006/main">
                <a:ext uri="{FF2B5EF4-FFF2-40B4-BE49-F238E27FC236}">
                  <a16:creationId xmlns:a16="http://schemas.microsoft.com/office/drawing/2014/main" id="{62696BD6-551E-FB61-3EA3-77D1213530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F0E6B" w:rsidRDefault="003F5D83" w:rsidP="003F5D83">
      <w:pPr>
        <w:shd w:val="clear" w:color="auto" w:fill="FFFFFF"/>
        <w:spacing w:after="0" w:line="240" w:lineRule="auto"/>
        <w:jc w:val="center"/>
        <w:rPr>
          <w:rFonts w:ascii="Times New Roman" w:eastAsia="Times New Roman" w:hAnsi="Times New Roman" w:cs="Times New Roman"/>
          <w:b/>
          <w:bCs/>
          <w:color w:val="1C1C1C"/>
          <w:sz w:val="24"/>
          <w:szCs w:val="24"/>
          <w:lang w:val="ru-RU"/>
        </w:rPr>
      </w:pPr>
      <w:r w:rsidRPr="00315592">
        <w:rPr>
          <w:rFonts w:ascii="Times New Roman" w:eastAsia="Times New Roman" w:hAnsi="Times New Roman" w:cs="Times New Roman"/>
          <w:b/>
          <w:bCs/>
          <w:color w:val="1C1C1C"/>
          <w:sz w:val="24"/>
          <w:szCs w:val="24"/>
          <w:lang w:val="ru-RU"/>
        </w:rPr>
        <w:t>Рис</w:t>
      </w:r>
      <w:r>
        <w:rPr>
          <w:rFonts w:ascii="Times New Roman" w:eastAsia="Times New Roman" w:hAnsi="Times New Roman" w:cs="Times New Roman"/>
          <w:b/>
          <w:bCs/>
          <w:color w:val="1C1C1C"/>
          <w:sz w:val="24"/>
          <w:szCs w:val="24"/>
          <w:lang w:val="ru-RU"/>
        </w:rPr>
        <w:t>унок 2.</w:t>
      </w:r>
      <w:r w:rsidRPr="00DE72FC">
        <w:rPr>
          <w:rFonts w:ascii="Times New Roman" w:eastAsia="Times New Roman" w:hAnsi="Times New Roman" w:cs="Times New Roman"/>
          <w:b/>
          <w:bCs/>
          <w:color w:val="1C1C1C"/>
          <w:sz w:val="24"/>
          <w:szCs w:val="24"/>
          <w:lang w:val="ru-RU"/>
        </w:rPr>
        <w:t>3</w:t>
      </w:r>
      <w:r>
        <w:rPr>
          <w:rFonts w:ascii="Times New Roman" w:eastAsia="Times New Roman" w:hAnsi="Times New Roman" w:cs="Times New Roman"/>
          <w:b/>
          <w:bCs/>
          <w:color w:val="1C1C1C"/>
          <w:sz w:val="24"/>
          <w:szCs w:val="24"/>
          <w:lang w:val="ru-RU"/>
        </w:rPr>
        <w:t>.</w:t>
      </w:r>
      <w:r w:rsidRPr="00DE72FC">
        <w:rPr>
          <w:rFonts w:ascii="Times New Roman" w:eastAsia="Times New Roman" w:hAnsi="Times New Roman" w:cs="Times New Roman"/>
          <w:b/>
          <w:bCs/>
          <w:color w:val="1C1C1C"/>
          <w:sz w:val="24"/>
          <w:szCs w:val="24"/>
          <w:lang w:val="ru-RU"/>
        </w:rPr>
        <w:t xml:space="preserve"> Динамика</w:t>
      </w:r>
      <w:r w:rsidRPr="00315592">
        <w:rPr>
          <w:rFonts w:ascii="Times New Roman" w:eastAsia="Times New Roman" w:hAnsi="Times New Roman" w:cs="Times New Roman"/>
          <w:b/>
          <w:bCs/>
          <w:color w:val="1C1C1C"/>
          <w:sz w:val="24"/>
          <w:szCs w:val="24"/>
          <w:lang w:val="ru-RU"/>
        </w:rPr>
        <w:t xml:space="preserve"> количества предприятий по регионам развития, ед</w:t>
      </w:r>
      <w:r>
        <w:rPr>
          <w:rFonts w:ascii="Times New Roman" w:eastAsia="Times New Roman" w:hAnsi="Times New Roman" w:cs="Times New Roman"/>
          <w:b/>
          <w:bCs/>
          <w:color w:val="1C1C1C"/>
          <w:sz w:val="24"/>
          <w:szCs w:val="24"/>
          <w:lang w:val="ru-RU"/>
        </w:rPr>
        <w:t>.</w:t>
      </w:r>
      <w:r w:rsidRPr="00315592">
        <w:rPr>
          <w:rFonts w:ascii="Times New Roman" w:eastAsia="Times New Roman" w:hAnsi="Times New Roman" w:cs="Times New Roman"/>
          <w:b/>
          <w:bCs/>
          <w:color w:val="1C1C1C"/>
          <w:sz w:val="24"/>
          <w:szCs w:val="24"/>
          <w:lang w:val="ru-RU"/>
        </w:rPr>
        <w:t>,</w:t>
      </w:r>
    </w:p>
    <w:p w:rsidR="003F5D83" w:rsidRDefault="003F5D83" w:rsidP="003F5D83">
      <w:pPr>
        <w:shd w:val="clear" w:color="auto" w:fill="FFFFFF"/>
        <w:spacing w:after="0" w:line="240" w:lineRule="auto"/>
        <w:jc w:val="center"/>
        <w:rPr>
          <w:rFonts w:ascii="Times New Roman" w:eastAsia="Times New Roman" w:hAnsi="Times New Roman" w:cs="Times New Roman"/>
          <w:b/>
          <w:bCs/>
          <w:color w:val="1C1C1C"/>
          <w:sz w:val="24"/>
          <w:szCs w:val="24"/>
        </w:rPr>
      </w:pPr>
      <w:r w:rsidRPr="00315592">
        <w:rPr>
          <w:rFonts w:ascii="Times New Roman" w:eastAsia="Times New Roman" w:hAnsi="Times New Roman" w:cs="Times New Roman"/>
          <w:b/>
          <w:bCs/>
          <w:color w:val="1C1C1C"/>
          <w:sz w:val="24"/>
          <w:szCs w:val="24"/>
          <w:lang w:val="ru-RU"/>
        </w:rPr>
        <w:t xml:space="preserve"> </w:t>
      </w:r>
      <w:r w:rsidRPr="00F70993">
        <w:rPr>
          <w:rFonts w:ascii="Times New Roman" w:eastAsia="Times New Roman" w:hAnsi="Times New Roman" w:cs="Times New Roman"/>
          <w:b/>
          <w:bCs/>
          <w:color w:val="1C1C1C"/>
          <w:sz w:val="24"/>
          <w:szCs w:val="24"/>
        </w:rPr>
        <w:t xml:space="preserve">2020-2024 </w:t>
      </w:r>
      <w:proofErr w:type="spellStart"/>
      <w:r w:rsidRPr="00315592">
        <w:rPr>
          <w:rFonts w:ascii="Times New Roman" w:eastAsia="Times New Roman" w:hAnsi="Times New Roman" w:cs="Times New Roman"/>
          <w:b/>
          <w:bCs/>
          <w:color w:val="1C1C1C"/>
          <w:sz w:val="24"/>
          <w:szCs w:val="24"/>
          <w:lang w:val="ru-RU"/>
        </w:rPr>
        <w:t>гг</w:t>
      </w:r>
      <w:proofErr w:type="spellEnd"/>
      <w:r w:rsidRPr="00F70993">
        <w:rPr>
          <w:rFonts w:ascii="Times New Roman" w:eastAsia="Times New Roman" w:hAnsi="Times New Roman" w:cs="Times New Roman"/>
          <w:b/>
          <w:bCs/>
          <w:color w:val="1C1C1C"/>
          <w:sz w:val="24"/>
          <w:szCs w:val="24"/>
        </w:rPr>
        <w:t>.</w:t>
      </w:r>
      <w:r w:rsidR="001F0E6B">
        <w:rPr>
          <w:rFonts w:ascii="Times New Roman" w:eastAsia="Times New Roman" w:hAnsi="Times New Roman" w:cs="Times New Roman"/>
          <w:b/>
          <w:bCs/>
          <w:color w:val="1C1C1C"/>
          <w:sz w:val="24"/>
          <w:szCs w:val="24"/>
        </w:rPr>
        <w:t xml:space="preserve"> </w:t>
      </w:r>
    </w:p>
    <w:p w:rsidR="001F0E6B" w:rsidRPr="001F0E6B" w:rsidRDefault="001F0E6B" w:rsidP="003F5D83">
      <w:pPr>
        <w:shd w:val="clear" w:color="auto" w:fill="FFFFFF"/>
        <w:spacing w:after="0" w:line="240" w:lineRule="auto"/>
        <w:jc w:val="center"/>
        <w:rPr>
          <w:rFonts w:ascii="Times New Roman" w:eastAsia="Times New Roman" w:hAnsi="Times New Roman" w:cs="Times New Roman"/>
          <w:b/>
          <w:bCs/>
          <w:color w:val="1C1C1C"/>
          <w:sz w:val="24"/>
          <w:szCs w:val="24"/>
        </w:rPr>
      </w:pPr>
    </w:p>
    <w:p w:rsidR="003F5D83" w:rsidRPr="00C30FB3" w:rsidRDefault="003F5D83" w:rsidP="003F5D83">
      <w:pPr>
        <w:spacing w:after="0" w:line="240" w:lineRule="auto"/>
        <w:jc w:val="both"/>
        <w:rPr>
          <w:rFonts w:ascii="Times New Roman" w:hAnsi="Times New Roman" w:cs="Times New Roman"/>
          <w:i/>
          <w:iCs/>
          <w:kern w:val="2"/>
          <w:sz w:val="16"/>
          <w:szCs w:val="16"/>
          <w14:ligatures w14:val="standardContextual"/>
        </w:rPr>
      </w:pPr>
      <w:proofErr w:type="spellStart"/>
      <w:r w:rsidRPr="00C30FB3">
        <w:rPr>
          <w:rFonts w:ascii="Times New Roman" w:hAnsi="Times New Roman" w:cs="Times New Roman"/>
          <w:i/>
          <w:iCs/>
          <w:kern w:val="2"/>
          <w:sz w:val="16"/>
          <w:szCs w:val="16"/>
          <w14:ligatures w14:val="standardContextual"/>
        </w:rPr>
        <w:t>Источник</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Biroul</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Național</w:t>
      </w:r>
      <w:proofErr w:type="spellEnd"/>
      <w:r w:rsidRPr="00C30FB3">
        <w:rPr>
          <w:rFonts w:ascii="Times New Roman" w:hAnsi="Times New Roman" w:cs="Times New Roman"/>
          <w:i/>
          <w:iCs/>
          <w:kern w:val="2"/>
          <w:sz w:val="16"/>
          <w:szCs w:val="16"/>
          <w14:ligatures w14:val="standardContextual"/>
        </w:rPr>
        <w:t xml:space="preserve"> de </w:t>
      </w:r>
      <w:proofErr w:type="spellStart"/>
      <w:r w:rsidRPr="00C30FB3">
        <w:rPr>
          <w:rFonts w:ascii="Times New Roman" w:hAnsi="Times New Roman" w:cs="Times New Roman"/>
          <w:i/>
          <w:iCs/>
          <w:kern w:val="2"/>
          <w:sz w:val="16"/>
          <w:szCs w:val="16"/>
          <w14:ligatures w14:val="standardContextual"/>
        </w:rPr>
        <w:t>Statistică</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Statistica</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teritorială</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edițiile</w:t>
      </w:r>
      <w:proofErr w:type="spellEnd"/>
      <w:r w:rsidRPr="00C30FB3">
        <w:rPr>
          <w:rFonts w:ascii="Times New Roman" w:hAnsi="Times New Roman" w:cs="Times New Roman"/>
          <w:i/>
          <w:iCs/>
          <w:kern w:val="2"/>
          <w:sz w:val="16"/>
          <w:szCs w:val="16"/>
          <w14:ligatures w14:val="standardContextual"/>
        </w:rPr>
        <w:t xml:space="preserve"> 2013–2025) [</w:t>
      </w:r>
      <w:proofErr w:type="spellStart"/>
      <w:r w:rsidRPr="00C30FB3">
        <w:rPr>
          <w:rFonts w:ascii="Times New Roman" w:hAnsi="Times New Roman" w:cs="Times New Roman"/>
          <w:i/>
          <w:iCs/>
          <w:kern w:val="2"/>
          <w:sz w:val="16"/>
          <w:szCs w:val="16"/>
          <w14:ligatures w14:val="standardContextual"/>
        </w:rPr>
        <w:t>resursă</w:t>
      </w:r>
      <w:proofErr w:type="spellEnd"/>
      <w:r w:rsidRPr="00C30FB3">
        <w:rPr>
          <w:rFonts w:ascii="Times New Roman" w:hAnsi="Times New Roman" w:cs="Times New Roman"/>
          <w:i/>
          <w:iCs/>
          <w:kern w:val="2"/>
          <w:sz w:val="16"/>
          <w:szCs w:val="16"/>
          <w14:ligatures w14:val="standardContextual"/>
        </w:rPr>
        <w:t xml:space="preserve"> </w:t>
      </w:r>
      <w:proofErr w:type="spellStart"/>
      <w:r w:rsidRPr="00C30FB3">
        <w:rPr>
          <w:rFonts w:ascii="Times New Roman" w:hAnsi="Times New Roman" w:cs="Times New Roman"/>
          <w:i/>
          <w:iCs/>
          <w:kern w:val="2"/>
          <w:sz w:val="16"/>
          <w:szCs w:val="16"/>
          <w14:ligatures w14:val="standardContextual"/>
        </w:rPr>
        <w:t>electronică</w:t>
      </w:r>
      <w:proofErr w:type="spellEnd"/>
      <w:r w:rsidRPr="00C30FB3">
        <w:rPr>
          <w:rFonts w:ascii="Times New Roman" w:hAnsi="Times New Roman" w:cs="Times New Roman"/>
          <w:i/>
          <w:iCs/>
          <w:kern w:val="2"/>
          <w:sz w:val="16"/>
          <w:szCs w:val="16"/>
          <w14:ligatures w14:val="standardContextual"/>
        </w:rPr>
        <w:t xml:space="preserve">]. – </w:t>
      </w:r>
      <w:proofErr w:type="spellStart"/>
      <w:r w:rsidRPr="00C30FB3">
        <w:rPr>
          <w:rFonts w:ascii="Times New Roman" w:hAnsi="Times New Roman" w:cs="Times New Roman"/>
          <w:i/>
          <w:iCs/>
          <w:kern w:val="2"/>
          <w:sz w:val="16"/>
          <w:szCs w:val="16"/>
          <w14:ligatures w14:val="standardContextual"/>
        </w:rPr>
        <w:t>Disponibil</w:t>
      </w:r>
      <w:proofErr w:type="spellEnd"/>
      <w:r w:rsidRPr="00C30FB3">
        <w:rPr>
          <w:rFonts w:ascii="Times New Roman" w:hAnsi="Times New Roman" w:cs="Times New Roman"/>
          <w:i/>
          <w:iCs/>
          <w:kern w:val="2"/>
          <w:sz w:val="16"/>
          <w:szCs w:val="16"/>
          <w14:ligatures w14:val="standardContextual"/>
        </w:rPr>
        <w:t xml:space="preserve">: </w:t>
      </w:r>
      <w:hyperlink r:id="rId19" w:tgtFrame="_blank" w:history="1">
        <w:proofErr w:type="spellStart"/>
        <w:r w:rsidRPr="00C30FB3">
          <w:rPr>
            <w:rStyle w:val="af0"/>
            <w:rFonts w:ascii="Times New Roman" w:hAnsi="Times New Roman" w:cs="Times New Roman"/>
            <w:i/>
            <w:iCs/>
            <w:kern w:val="2"/>
            <w:sz w:val="16"/>
            <w:szCs w:val="16"/>
            <w14:ligatures w14:val="standardContextual"/>
          </w:rPr>
          <w:t>Statistica</w:t>
        </w:r>
        <w:proofErr w:type="spellEnd"/>
        <w:r w:rsidRPr="00C30FB3">
          <w:rPr>
            <w:rStyle w:val="af0"/>
            <w:rFonts w:ascii="Times New Roman" w:hAnsi="Times New Roman" w:cs="Times New Roman"/>
            <w:i/>
            <w:iCs/>
            <w:kern w:val="2"/>
            <w:sz w:val="16"/>
            <w:szCs w:val="16"/>
            <w14:ligatures w14:val="standardContextual"/>
          </w:rPr>
          <w:t xml:space="preserve"> </w:t>
        </w:r>
        <w:proofErr w:type="spellStart"/>
        <w:r w:rsidRPr="00C30FB3">
          <w:rPr>
            <w:rStyle w:val="af0"/>
            <w:rFonts w:ascii="Times New Roman" w:hAnsi="Times New Roman" w:cs="Times New Roman"/>
            <w:i/>
            <w:iCs/>
            <w:kern w:val="2"/>
            <w:sz w:val="16"/>
            <w:szCs w:val="16"/>
            <w14:ligatures w14:val="standardContextual"/>
          </w:rPr>
          <w:t>teritorială</w:t>
        </w:r>
        <w:proofErr w:type="spellEnd"/>
      </w:hyperlink>
    </w:p>
    <w:p w:rsidR="003F5D83" w:rsidRPr="00C30FB3" w:rsidRDefault="003F5D83" w:rsidP="003F5D83">
      <w:pPr>
        <w:spacing w:after="0" w:line="240" w:lineRule="auto"/>
        <w:jc w:val="both"/>
        <w:rPr>
          <w:rFonts w:ascii="Times New Roman" w:hAnsi="Times New Roman" w:cs="Times New Roman"/>
          <w:i/>
          <w:iCs/>
          <w:kern w:val="2"/>
          <w:sz w:val="16"/>
          <w:szCs w:val="16"/>
          <w:lang w:val="ru-RU"/>
          <w14:ligatures w14:val="standardContextual"/>
        </w:rPr>
      </w:pPr>
      <w:r w:rsidRPr="00C30FB3">
        <w:rPr>
          <w:rFonts w:ascii="Times New Roman" w:hAnsi="Times New Roman" w:cs="Times New Roman"/>
          <w:i/>
          <w:iCs/>
          <w:kern w:val="2"/>
          <w:sz w:val="16"/>
          <w:szCs w:val="16"/>
          <w:lang w:val="ru-RU"/>
          <w14:ligatures w14:val="standardContextual"/>
        </w:rPr>
        <w:t xml:space="preserve">*Примечание: по состоянию на дату обращения официальные статистические данные за 2025 год в базе </w:t>
      </w:r>
      <w:proofErr w:type="spellStart"/>
      <w:r w:rsidRPr="00C30FB3">
        <w:rPr>
          <w:rFonts w:ascii="Times New Roman" w:hAnsi="Times New Roman" w:cs="Times New Roman"/>
          <w:i/>
          <w:iCs/>
          <w:kern w:val="2"/>
          <w:sz w:val="16"/>
          <w:szCs w:val="16"/>
          <w14:ligatures w14:val="standardContextual"/>
        </w:rPr>
        <w:t>StatBank</w:t>
      </w:r>
      <w:proofErr w:type="spellEnd"/>
      <w:r w:rsidRPr="00C30FB3">
        <w:rPr>
          <w:rFonts w:ascii="Times New Roman" w:hAnsi="Times New Roman" w:cs="Times New Roman"/>
          <w:i/>
          <w:iCs/>
          <w:kern w:val="2"/>
          <w:sz w:val="16"/>
          <w:szCs w:val="16"/>
          <w:lang w:val="ru-RU"/>
          <w14:ligatures w14:val="standardContextual"/>
        </w:rPr>
        <w:t xml:space="preserve"> отсутствуют.</w:t>
      </w:r>
    </w:p>
    <w:p w:rsidR="00B9086D" w:rsidRDefault="00B9086D" w:rsidP="003F5D83">
      <w:pPr>
        <w:spacing w:after="0" w:line="240" w:lineRule="auto"/>
        <w:ind w:firstLine="709"/>
        <w:jc w:val="both"/>
        <w:rPr>
          <w:rFonts w:ascii="Times New Roman" w:eastAsia="Times New Roman" w:hAnsi="Times New Roman" w:cs="Times New Roman"/>
          <w:sz w:val="24"/>
          <w:szCs w:val="24"/>
          <w:lang w:val="ru-RU"/>
        </w:rPr>
      </w:pPr>
    </w:p>
    <w:p w:rsidR="003F5D83" w:rsidRPr="001D4217" w:rsidRDefault="003F5D83" w:rsidP="003F5D83">
      <w:pPr>
        <w:spacing w:after="0" w:line="240" w:lineRule="auto"/>
        <w:ind w:firstLine="709"/>
        <w:jc w:val="both"/>
        <w:rPr>
          <w:rFonts w:ascii="Times New Roman" w:eastAsia="Times New Roman" w:hAnsi="Times New Roman" w:cs="Times New Roman"/>
          <w:sz w:val="24"/>
          <w:szCs w:val="24"/>
          <w:lang w:val="ru-RU"/>
        </w:rPr>
      </w:pPr>
      <w:r w:rsidRPr="001D4217">
        <w:rPr>
          <w:rFonts w:ascii="Times New Roman" w:eastAsia="Times New Roman" w:hAnsi="Times New Roman" w:cs="Times New Roman"/>
          <w:sz w:val="24"/>
          <w:szCs w:val="24"/>
          <w:lang w:val="ru-RU"/>
        </w:rPr>
        <w:t xml:space="preserve">Динамика количества предприятий по регионам развития Республики Молдова за 2020–2024 гг. </w:t>
      </w:r>
      <w:r>
        <w:rPr>
          <w:rFonts w:ascii="Times New Roman" w:eastAsia="Times New Roman" w:hAnsi="Times New Roman" w:cs="Times New Roman"/>
          <w:sz w:val="24"/>
          <w:szCs w:val="24"/>
          <w:lang w:val="ru-RU"/>
        </w:rPr>
        <w:t>демонстрирует</w:t>
      </w:r>
      <w:r w:rsidRPr="001D4217">
        <w:rPr>
          <w:rFonts w:ascii="Times New Roman" w:eastAsia="Times New Roman" w:hAnsi="Times New Roman" w:cs="Times New Roman"/>
          <w:sz w:val="24"/>
          <w:szCs w:val="24"/>
          <w:lang w:val="ru-RU"/>
        </w:rPr>
        <w:t xml:space="preserve"> устойчив</w:t>
      </w:r>
      <w:r w:rsidRPr="00B362C0">
        <w:rPr>
          <w:rFonts w:ascii="Times New Roman" w:eastAsia="Times New Roman" w:hAnsi="Times New Roman" w:cs="Times New Roman"/>
          <w:sz w:val="24"/>
          <w:szCs w:val="24"/>
          <w:lang w:val="ru-RU"/>
        </w:rPr>
        <w:t>ый</w:t>
      </w:r>
      <w:r w:rsidRPr="001D4217">
        <w:rPr>
          <w:rFonts w:ascii="Times New Roman" w:eastAsia="Times New Roman" w:hAnsi="Times New Roman" w:cs="Times New Roman"/>
          <w:sz w:val="24"/>
          <w:szCs w:val="24"/>
          <w:lang w:val="ru-RU"/>
        </w:rPr>
        <w:t xml:space="preserve"> рост предпринимательской активности во всех регионах страны. Наибольшие темпы прироста зафиксированы в регионе Юг (+31,2%), а также в регионах Центр (+25,3%) и Север (+24,7%). В АТО Гагаузия рост составил +20,4%, что выше, чем в регионе Кишинёв (+14,0%), однако ниже, чем в большинстве регионов страны. В целом по республике количество предприятий увеличилось на 18,4%, что подтверждает положительные тенденции развития бизнес-среды.</w:t>
      </w:r>
    </w:p>
    <w:p w:rsidR="003F5D83" w:rsidRPr="001D4217" w:rsidRDefault="003F5D83" w:rsidP="003F5D83">
      <w:pPr>
        <w:spacing w:after="0" w:line="240" w:lineRule="auto"/>
        <w:ind w:firstLine="709"/>
        <w:jc w:val="both"/>
        <w:rPr>
          <w:rFonts w:ascii="Times New Roman" w:eastAsia="Times New Roman" w:hAnsi="Times New Roman" w:cs="Times New Roman"/>
          <w:sz w:val="24"/>
          <w:szCs w:val="24"/>
          <w:lang w:val="ru-RU"/>
        </w:rPr>
      </w:pPr>
      <w:r w:rsidRPr="001D4217">
        <w:rPr>
          <w:rFonts w:ascii="Times New Roman" w:eastAsia="Times New Roman" w:hAnsi="Times New Roman" w:cs="Times New Roman"/>
          <w:sz w:val="24"/>
          <w:szCs w:val="24"/>
          <w:lang w:val="ru-RU"/>
        </w:rPr>
        <w:t>В АТО Гагаузия число предприятий возросло с 1 795 до 2 162 единиц, демонстрируя стабильную положительную динамику на протяжении всего периода без спадов. Однако, несмотря на рост, регион существенно уступает другим территориям по масштабам предпринимательской активности. Так, в 2024 году количество предприятий в АТО Гагаузия составляло лишь 51,2% от уровня региона Юг, 23,0% от уровня региона Север и 18,2% от уровня региона Центр. Это указывает на ограниченную предпринимательскую базу региона и более низкую плотность деловой активности.</w:t>
      </w:r>
    </w:p>
    <w:p w:rsidR="003F5D83" w:rsidRPr="001D4217" w:rsidRDefault="003F5D83" w:rsidP="003F5D83">
      <w:pPr>
        <w:spacing w:after="0" w:line="240" w:lineRule="auto"/>
        <w:ind w:firstLine="709"/>
        <w:jc w:val="both"/>
        <w:rPr>
          <w:rFonts w:ascii="Times New Roman" w:eastAsia="Times New Roman" w:hAnsi="Times New Roman" w:cs="Times New Roman"/>
          <w:sz w:val="24"/>
          <w:szCs w:val="24"/>
          <w:lang w:val="ru-RU"/>
        </w:rPr>
      </w:pPr>
      <w:r w:rsidRPr="001D4217">
        <w:rPr>
          <w:rFonts w:ascii="Times New Roman" w:eastAsia="Times New Roman" w:hAnsi="Times New Roman" w:cs="Times New Roman"/>
          <w:sz w:val="24"/>
          <w:szCs w:val="24"/>
          <w:lang w:val="ru-RU"/>
        </w:rPr>
        <w:t>В сравнении с другими регионами следует отметить, что, несмотря на относительно неплохие темпы роста, Гагаузия сохраняет периферийное положение в национальной структуре бизнеса. Даже регион Юг, близкий по экономическим условиям, существенно опережает АТО Гагаузия по абсолютному количеству предприятий. В то же время отсутствие резких колебаний и стабильный рост свидетельствуют о постепенном развитии предпринимательской среды.</w:t>
      </w:r>
    </w:p>
    <w:p w:rsidR="003F5D83" w:rsidRPr="001D4217" w:rsidRDefault="003F5D83" w:rsidP="003F5D83">
      <w:pPr>
        <w:spacing w:after="0" w:line="240" w:lineRule="auto"/>
        <w:ind w:firstLine="709"/>
        <w:jc w:val="both"/>
        <w:rPr>
          <w:rFonts w:ascii="Times New Roman" w:eastAsia="Times New Roman" w:hAnsi="Times New Roman" w:cs="Times New Roman"/>
          <w:sz w:val="24"/>
          <w:szCs w:val="24"/>
          <w:lang w:val="ru-RU"/>
        </w:rPr>
      </w:pPr>
      <w:r w:rsidRPr="001D4217">
        <w:rPr>
          <w:rFonts w:ascii="Times New Roman" w:eastAsia="Times New Roman" w:hAnsi="Times New Roman" w:cs="Times New Roman"/>
          <w:sz w:val="24"/>
          <w:szCs w:val="24"/>
          <w:lang w:val="ru-RU"/>
        </w:rPr>
        <w:t>Таким образом, АТО Гагаузия характеризуется умеренными темпами роста при низкой исходной базе, что обусловливает её отставание от других регионов. Для сокращения существующих диспропорций необходимы дополнительные меры по стимулированию предпринимательства, развитию инфраструктуры и повышению инвестиционной привлекательности региона.</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Дополнительно следует отметить, что в структуре распределения активных предприятий по регионам развития в 202</w:t>
      </w:r>
      <w:r>
        <w:rPr>
          <w:rFonts w:ascii="Times New Roman" w:eastAsia="Times New Roman" w:hAnsi="Times New Roman" w:cs="Times New Roman"/>
          <w:sz w:val="24"/>
          <w:szCs w:val="24"/>
          <w:lang w:val="ru-RU"/>
        </w:rPr>
        <w:t>4</w:t>
      </w:r>
      <w:r w:rsidRPr="00315592">
        <w:rPr>
          <w:rFonts w:ascii="Times New Roman" w:eastAsia="Times New Roman" w:hAnsi="Times New Roman" w:cs="Times New Roman"/>
          <w:sz w:val="24"/>
          <w:szCs w:val="24"/>
          <w:lang w:val="ru-RU"/>
        </w:rPr>
        <w:t xml:space="preserve"> году на АТО Гагаузия приходилось лишь 3,1% от общего числа предприятий, тогда как на муниципий Кишинёв — </w:t>
      </w:r>
      <w:r>
        <w:rPr>
          <w:rFonts w:ascii="Times New Roman" w:eastAsia="Times New Roman" w:hAnsi="Times New Roman" w:cs="Times New Roman"/>
          <w:sz w:val="24"/>
          <w:szCs w:val="24"/>
          <w:lang w:val="ru-RU"/>
        </w:rPr>
        <w:t>59,8</w:t>
      </w:r>
      <w:r w:rsidRPr="00315592">
        <w:rPr>
          <w:rFonts w:ascii="Times New Roman" w:eastAsia="Times New Roman" w:hAnsi="Times New Roman" w:cs="Times New Roman"/>
          <w:sz w:val="24"/>
          <w:szCs w:val="24"/>
          <w:lang w:val="ru-RU"/>
        </w:rPr>
        <w:t xml:space="preserve">%, регион Центр — </w:t>
      </w:r>
      <w:r>
        <w:rPr>
          <w:rFonts w:ascii="Times New Roman" w:eastAsia="Times New Roman" w:hAnsi="Times New Roman" w:cs="Times New Roman"/>
          <w:sz w:val="24"/>
          <w:szCs w:val="24"/>
          <w:lang w:val="ru-RU"/>
        </w:rPr>
        <w:t>17,2</w:t>
      </w:r>
      <w:r w:rsidRPr="00315592">
        <w:rPr>
          <w:rFonts w:ascii="Times New Roman" w:eastAsia="Times New Roman" w:hAnsi="Times New Roman" w:cs="Times New Roman"/>
          <w:sz w:val="24"/>
          <w:szCs w:val="24"/>
          <w:lang w:val="ru-RU"/>
        </w:rPr>
        <w:t>%, Север — 1</w:t>
      </w:r>
      <w:r>
        <w:rPr>
          <w:rFonts w:ascii="Times New Roman" w:eastAsia="Times New Roman" w:hAnsi="Times New Roman" w:cs="Times New Roman"/>
          <w:sz w:val="24"/>
          <w:szCs w:val="24"/>
          <w:lang w:val="ru-RU"/>
        </w:rPr>
        <w:t>3</w:t>
      </w:r>
      <w:r w:rsidRPr="00315592">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lang w:val="ru-RU"/>
        </w:rPr>
        <w:t>,</w:t>
      </w:r>
      <w:r w:rsidRPr="00315592">
        <w:rPr>
          <w:rFonts w:ascii="Times New Roman" w:eastAsia="Times New Roman" w:hAnsi="Times New Roman" w:cs="Times New Roman"/>
          <w:sz w:val="24"/>
          <w:szCs w:val="24"/>
          <w:lang w:val="ru-RU"/>
        </w:rPr>
        <w:t xml:space="preserve"> Юг — </w:t>
      </w:r>
      <w:r>
        <w:rPr>
          <w:rFonts w:ascii="Times New Roman" w:eastAsia="Times New Roman" w:hAnsi="Times New Roman" w:cs="Times New Roman"/>
          <w:sz w:val="24"/>
          <w:szCs w:val="24"/>
          <w:lang w:val="ru-RU"/>
        </w:rPr>
        <w:t>6,1</w:t>
      </w:r>
      <w:r w:rsidRPr="00315592">
        <w:rPr>
          <w:rFonts w:ascii="Times New Roman" w:eastAsia="Times New Roman" w:hAnsi="Times New Roman" w:cs="Times New Roman"/>
          <w:sz w:val="24"/>
          <w:szCs w:val="24"/>
          <w:lang w:val="ru-RU"/>
        </w:rPr>
        <w:t>% (рис</w:t>
      </w:r>
      <w:r>
        <w:rPr>
          <w:rFonts w:ascii="Times New Roman" w:eastAsia="Times New Roman" w:hAnsi="Times New Roman" w:cs="Times New Roman"/>
          <w:sz w:val="24"/>
          <w:szCs w:val="24"/>
          <w:lang w:val="ru-RU"/>
        </w:rPr>
        <w:t>унок 2.</w:t>
      </w:r>
      <w:r w:rsidRPr="00315592">
        <w:rPr>
          <w:rFonts w:ascii="Times New Roman" w:eastAsia="Times New Roman" w:hAnsi="Times New Roman" w:cs="Times New Roman"/>
          <w:sz w:val="24"/>
          <w:szCs w:val="24"/>
          <w:lang w:val="ru-RU"/>
        </w:rPr>
        <w:t>4). Это</w:t>
      </w:r>
      <w:r>
        <w:rPr>
          <w:rFonts w:ascii="Times New Roman" w:eastAsia="Times New Roman" w:hAnsi="Times New Roman" w:cs="Times New Roman"/>
          <w:sz w:val="24"/>
          <w:szCs w:val="24"/>
          <w:lang w:val="ru-RU"/>
        </w:rPr>
        <w:t>т факт</w:t>
      </w:r>
      <w:r w:rsidRPr="0031559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доказыва</w:t>
      </w:r>
      <w:r w:rsidRPr="00315592">
        <w:rPr>
          <w:rFonts w:ascii="Times New Roman" w:eastAsia="Times New Roman" w:hAnsi="Times New Roman" w:cs="Times New Roman"/>
          <w:sz w:val="24"/>
          <w:szCs w:val="24"/>
          <w:lang w:val="ru-RU"/>
        </w:rPr>
        <w:t xml:space="preserve">ет высокую </w:t>
      </w:r>
      <w:r w:rsidRPr="00315592">
        <w:rPr>
          <w:rFonts w:ascii="Times New Roman" w:eastAsia="Times New Roman" w:hAnsi="Times New Roman" w:cs="Times New Roman"/>
          <w:sz w:val="24"/>
          <w:szCs w:val="24"/>
          <w:lang w:val="ru-RU"/>
        </w:rPr>
        <w:lastRenderedPageBreak/>
        <w:t>территориальную концентрацию предпринимательской активности и ограниченное участие региона в формировании деловой среды страны.</w:t>
      </w:r>
    </w:p>
    <w:p w:rsidR="00B9086D" w:rsidRDefault="00B9086D" w:rsidP="003F5D83">
      <w:pPr>
        <w:spacing w:after="0" w:line="240" w:lineRule="auto"/>
        <w:ind w:firstLine="709"/>
        <w:jc w:val="both"/>
        <w:rPr>
          <w:rFonts w:ascii="Times New Roman" w:eastAsia="Times New Roman" w:hAnsi="Times New Roman" w:cs="Times New Roman"/>
          <w:sz w:val="24"/>
          <w:szCs w:val="24"/>
          <w:lang w:val="ru-RU"/>
        </w:rPr>
      </w:pPr>
    </w:p>
    <w:p w:rsidR="00B9086D" w:rsidRPr="00315592" w:rsidRDefault="00B9086D" w:rsidP="003F5D83">
      <w:pPr>
        <w:spacing w:after="0" w:line="240" w:lineRule="auto"/>
        <w:ind w:firstLine="709"/>
        <w:jc w:val="both"/>
        <w:rPr>
          <w:rFonts w:ascii="Times New Roman" w:eastAsia="Times New Roman" w:hAnsi="Times New Roman" w:cs="Times New Roman"/>
          <w:sz w:val="24"/>
          <w:szCs w:val="24"/>
          <w:lang w:val="ru-RU"/>
        </w:rPr>
      </w:pPr>
    </w:p>
    <w:p w:rsidR="003F5D83" w:rsidRPr="00315592" w:rsidRDefault="003F5D83" w:rsidP="003F5D83">
      <w:pPr>
        <w:spacing w:after="0" w:line="240" w:lineRule="auto"/>
        <w:jc w:val="both"/>
        <w:rPr>
          <w:rFonts w:ascii="Times New Roman" w:eastAsia="Times New Roman" w:hAnsi="Times New Roman" w:cs="Times New Roman"/>
          <w:sz w:val="24"/>
          <w:szCs w:val="24"/>
          <w:lang w:val="ru-RU"/>
        </w:rPr>
      </w:pPr>
      <w:r>
        <w:rPr>
          <w:noProof/>
          <w:lang w:val="ru-RU" w:eastAsia="ru-RU"/>
          <w14:ligatures w14:val="standardContextual"/>
        </w:rPr>
        <w:drawing>
          <wp:inline distT="0" distB="0" distL="0" distR="0" wp14:anchorId="6188A7B7" wp14:editId="5296FE35">
            <wp:extent cx="5800725" cy="2247900"/>
            <wp:effectExtent l="0" t="0" r="9525" b="0"/>
            <wp:docPr id="339636759" name="Диаграмма 1">
              <a:extLst xmlns:a="http://schemas.openxmlformats.org/drawingml/2006/main">
                <a:ext uri="{FF2B5EF4-FFF2-40B4-BE49-F238E27FC236}">
                  <a16:creationId xmlns:a16="http://schemas.microsoft.com/office/drawing/2014/main" id="{770D12CB-9CFF-E841-48C2-D0A2B6ABBE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унок 2.4.</w:t>
      </w:r>
      <w:r w:rsidRPr="00315592">
        <w:rPr>
          <w:rFonts w:ascii="Times New Roman" w:eastAsia="Times New Roman" w:hAnsi="Times New Roman" w:cs="Times New Roman"/>
          <w:b/>
          <w:bCs/>
          <w:sz w:val="24"/>
          <w:szCs w:val="24"/>
          <w:lang w:val="ru-RU"/>
        </w:rPr>
        <w:t xml:space="preserve"> Распределение предприятий по регионам развития Республики Молдова, 202</w:t>
      </w:r>
      <w:r>
        <w:rPr>
          <w:rFonts w:ascii="Times New Roman" w:eastAsia="Times New Roman" w:hAnsi="Times New Roman" w:cs="Times New Roman"/>
          <w:b/>
          <w:bCs/>
          <w:sz w:val="24"/>
          <w:szCs w:val="24"/>
          <w:lang w:val="ru-RU"/>
        </w:rPr>
        <w:t>4</w:t>
      </w:r>
      <w:r w:rsidRPr="00315592">
        <w:rPr>
          <w:rFonts w:ascii="Times New Roman" w:eastAsia="Times New Roman" w:hAnsi="Times New Roman" w:cs="Times New Roman"/>
          <w:b/>
          <w:bCs/>
          <w:sz w:val="24"/>
          <w:szCs w:val="24"/>
          <w:lang w:val="ru-RU"/>
        </w:rPr>
        <w:t xml:space="preserve"> г., %</w:t>
      </w:r>
    </w:p>
    <w:p w:rsidR="003F5D83" w:rsidRDefault="003F5D83" w:rsidP="003F5D83">
      <w:pPr>
        <w:spacing w:after="0" w:line="240" w:lineRule="auto"/>
        <w:ind w:right="403"/>
        <w:jc w:val="both"/>
        <w:rPr>
          <w:rFonts w:ascii="Times New Roman" w:hAnsi="Times New Roman" w:cs="Times New Roman"/>
          <w:i/>
          <w:iCs/>
          <w:color w:val="0563C1" w:themeColor="hyperlink"/>
          <w:kern w:val="2"/>
          <w:sz w:val="20"/>
          <w:szCs w:val="20"/>
          <w:u w:val="single"/>
          <w:lang w:val="ru-RU"/>
          <w14:ligatures w14:val="standardContextual"/>
        </w:rPr>
      </w:pPr>
      <w:r w:rsidRPr="006C2A74">
        <w:rPr>
          <w:rFonts w:ascii="Times New Roman" w:hAnsi="Times New Roman" w:cs="Times New Roman"/>
          <w:i/>
          <w:iCs/>
          <w:kern w:val="2"/>
          <w:sz w:val="16"/>
          <w:szCs w:val="16"/>
          <w:lang w:val="ru-RU"/>
          <w14:ligatures w14:val="standardContextual"/>
        </w:rPr>
        <w:t>Источник: рассчитано АРР на основе рисунка 2.3.</w:t>
      </w:r>
    </w:p>
    <w:p w:rsidR="003F5D83" w:rsidRDefault="003F5D83" w:rsidP="003F5D83">
      <w:pPr>
        <w:spacing w:after="0" w:line="240" w:lineRule="auto"/>
        <w:ind w:right="403"/>
        <w:jc w:val="both"/>
        <w:rPr>
          <w:rFonts w:ascii="Times New Roman" w:hAnsi="Times New Roman" w:cs="Times New Roman"/>
          <w:i/>
          <w:iCs/>
          <w:color w:val="0563C1" w:themeColor="hyperlink"/>
          <w:kern w:val="2"/>
          <w:sz w:val="20"/>
          <w:szCs w:val="20"/>
          <w:u w:val="single"/>
          <w:lang w:val="ru-RU"/>
          <w14:ligatures w14:val="standardContextual"/>
        </w:rPr>
      </w:pPr>
    </w:p>
    <w:p w:rsidR="001F0E6B" w:rsidRPr="006C2A74" w:rsidRDefault="001F0E6B" w:rsidP="003F5D83">
      <w:pPr>
        <w:spacing w:after="0" w:line="240" w:lineRule="auto"/>
        <w:ind w:right="403"/>
        <w:jc w:val="both"/>
        <w:rPr>
          <w:rFonts w:ascii="Times New Roman" w:hAnsi="Times New Roman" w:cs="Times New Roman"/>
          <w:i/>
          <w:iCs/>
          <w:color w:val="0563C1" w:themeColor="hyperlink"/>
          <w:kern w:val="2"/>
          <w:sz w:val="20"/>
          <w:szCs w:val="20"/>
          <w:u w:val="single"/>
          <w:lang w:val="ru-RU"/>
          <w14:ligatures w14:val="standardContextual"/>
        </w:rPr>
      </w:pP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15592">
        <w:rPr>
          <w:rFonts w:ascii="Times New Roman" w:hAnsi="Times New Roman" w:cs="Times New Roman"/>
          <w:kern w:val="2"/>
          <w:sz w:val="24"/>
          <w:szCs w:val="24"/>
          <w:lang w:val="ru-RU"/>
          <w14:ligatures w14:val="standardContextual"/>
        </w:rPr>
        <w:t>Анализ демографии предприятий по регионам развития Республики Молдова в 2023 году показывает существенные различия в динамике и устойчивости предпринимательского сектора (табл</w:t>
      </w:r>
      <w:r>
        <w:rPr>
          <w:rFonts w:ascii="Times New Roman" w:hAnsi="Times New Roman" w:cs="Times New Roman"/>
          <w:kern w:val="2"/>
          <w:sz w:val="24"/>
          <w:szCs w:val="24"/>
          <w:lang w:val="ru-RU"/>
          <w14:ligatures w14:val="standardContextual"/>
        </w:rPr>
        <w:t>ица 2.7</w:t>
      </w:r>
      <w:r w:rsidRPr="00315592">
        <w:rPr>
          <w:rFonts w:ascii="Times New Roman" w:hAnsi="Times New Roman" w:cs="Times New Roman"/>
          <w:kern w:val="2"/>
          <w:sz w:val="24"/>
          <w:szCs w:val="24"/>
          <w:lang w:val="ru-RU"/>
          <w14:ligatures w14:val="standardContextual"/>
        </w:rPr>
        <w:t>).</w:t>
      </w:r>
    </w:p>
    <w:p w:rsidR="00B9086D" w:rsidRDefault="00B9086D"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2614CD" w:rsidRPr="00315592" w:rsidRDefault="002614CD"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315592" w:rsidRDefault="003F5D83" w:rsidP="003F5D83">
      <w:pPr>
        <w:spacing w:after="0" w:line="240" w:lineRule="auto"/>
        <w:jc w:val="both"/>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Таблица</w:t>
      </w:r>
      <w:r>
        <w:rPr>
          <w:rFonts w:ascii="Times New Roman" w:eastAsia="Times New Roman" w:hAnsi="Times New Roman" w:cs="Times New Roman"/>
          <w:b/>
          <w:bCs/>
          <w:sz w:val="24"/>
          <w:szCs w:val="24"/>
          <w:lang w:val="ru-RU"/>
        </w:rPr>
        <w:t xml:space="preserve"> 2.7. </w:t>
      </w:r>
      <w:r w:rsidRPr="00315592">
        <w:rPr>
          <w:rFonts w:ascii="Times New Roman" w:eastAsia="Times New Roman" w:hAnsi="Times New Roman" w:cs="Times New Roman"/>
          <w:b/>
          <w:bCs/>
          <w:sz w:val="24"/>
          <w:szCs w:val="24"/>
          <w:lang w:val="ru-RU"/>
        </w:rPr>
        <w:t xml:space="preserve">Демография предприятий по регионам развития Республики Молдова, 2023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910"/>
        <w:gridCol w:w="1790"/>
        <w:gridCol w:w="1790"/>
        <w:gridCol w:w="1887"/>
      </w:tblGrid>
      <w:tr w:rsidR="003F5D83" w:rsidRPr="00315592" w:rsidTr="002614CD">
        <w:tc>
          <w:tcPr>
            <w:tcW w:w="2122" w:type="dxa"/>
            <w:vAlign w:val="center"/>
            <w:hideMark/>
          </w:tcPr>
          <w:p w:rsidR="003F5D83" w:rsidRPr="00315592" w:rsidRDefault="003F5D83" w:rsidP="003F5D83">
            <w:pPr>
              <w:jc w:val="center"/>
              <w:rPr>
                <w:rFonts w:ascii="Times New Roman" w:eastAsia="Times New Roman" w:hAnsi="Times New Roman" w:cs="Times New Roman"/>
                <w:b/>
                <w:bCs/>
              </w:rPr>
            </w:pPr>
            <w:proofErr w:type="spellStart"/>
            <w:r w:rsidRPr="00315592">
              <w:rPr>
                <w:rFonts w:ascii="Times New Roman" w:eastAsia="Times New Roman" w:hAnsi="Times New Roman" w:cs="Times New Roman"/>
                <w:b/>
                <w:bCs/>
              </w:rPr>
              <w:t>Регион</w:t>
            </w:r>
            <w:proofErr w:type="spellEnd"/>
          </w:p>
        </w:tc>
        <w:tc>
          <w:tcPr>
            <w:tcW w:w="1984" w:type="dxa"/>
            <w:vAlign w:val="center"/>
            <w:hideMark/>
          </w:tcPr>
          <w:p w:rsidR="003F5D83" w:rsidRPr="00315592" w:rsidRDefault="003F5D83" w:rsidP="003F5D83">
            <w:pPr>
              <w:jc w:val="center"/>
              <w:rPr>
                <w:rFonts w:ascii="Times New Roman" w:eastAsia="Times New Roman" w:hAnsi="Times New Roman" w:cs="Times New Roman"/>
              </w:rPr>
            </w:pPr>
            <w:r w:rsidRPr="00315592">
              <w:rPr>
                <w:rFonts w:ascii="Times New Roman" w:eastAsia="Times New Roman" w:hAnsi="Times New Roman" w:cs="Times New Roman"/>
                <w:lang w:val="ru-RU"/>
              </w:rPr>
              <w:t xml:space="preserve">Количество </w:t>
            </w:r>
            <w:proofErr w:type="spellStart"/>
            <w:r w:rsidRPr="00315592">
              <w:rPr>
                <w:rFonts w:ascii="Times New Roman" w:eastAsia="Times New Roman" w:hAnsi="Times New Roman" w:cs="Times New Roman"/>
              </w:rPr>
              <w:t>активных</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предприятий</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ед</w:t>
            </w:r>
            <w:proofErr w:type="spellEnd"/>
            <w:r w:rsidRPr="00315592">
              <w:rPr>
                <w:rFonts w:ascii="Times New Roman" w:eastAsia="Times New Roman" w:hAnsi="Times New Roman" w:cs="Times New Roman"/>
              </w:rPr>
              <w:t>.</w:t>
            </w:r>
          </w:p>
        </w:tc>
        <w:tc>
          <w:tcPr>
            <w:tcW w:w="1843" w:type="dxa"/>
            <w:vAlign w:val="center"/>
            <w:hideMark/>
          </w:tcPr>
          <w:p w:rsidR="003F5D83" w:rsidRPr="00315592" w:rsidRDefault="003F5D83" w:rsidP="003F5D83">
            <w:pPr>
              <w:jc w:val="center"/>
              <w:rPr>
                <w:rFonts w:ascii="Times New Roman" w:eastAsia="Times New Roman" w:hAnsi="Times New Roman" w:cs="Times New Roman"/>
                <w:lang w:val="ru-RU"/>
              </w:rPr>
            </w:pPr>
            <w:r w:rsidRPr="00315592">
              <w:rPr>
                <w:rFonts w:ascii="Times New Roman" w:eastAsia="Times New Roman" w:hAnsi="Times New Roman" w:cs="Times New Roman"/>
                <w:lang w:val="ru-RU"/>
              </w:rPr>
              <w:t>Уд. вес</w:t>
            </w:r>
          </w:p>
          <w:p w:rsidR="003F5D83" w:rsidRPr="00315592" w:rsidRDefault="003F5D83" w:rsidP="003F5D83">
            <w:pPr>
              <w:jc w:val="center"/>
              <w:rPr>
                <w:rFonts w:ascii="Times New Roman" w:eastAsia="Times New Roman" w:hAnsi="Times New Roman" w:cs="Times New Roman"/>
              </w:rPr>
            </w:pPr>
            <w:proofErr w:type="spellStart"/>
            <w:r w:rsidRPr="00315592">
              <w:rPr>
                <w:rFonts w:ascii="Times New Roman" w:eastAsia="Times New Roman" w:hAnsi="Times New Roman" w:cs="Times New Roman"/>
              </w:rPr>
              <w:t>активных</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предприятий</w:t>
            </w:r>
            <w:proofErr w:type="spellEnd"/>
            <w:r w:rsidRPr="00315592">
              <w:rPr>
                <w:rFonts w:ascii="Times New Roman" w:eastAsia="Times New Roman" w:hAnsi="Times New Roman" w:cs="Times New Roman"/>
              </w:rPr>
              <w:t>, %</w:t>
            </w:r>
          </w:p>
        </w:tc>
        <w:tc>
          <w:tcPr>
            <w:tcW w:w="1843" w:type="dxa"/>
            <w:vAlign w:val="center"/>
            <w:hideMark/>
          </w:tcPr>
          <w:p w:rsidR="003F5D83" w:rsidRPr="00315592" w:rsidRDefault="003F5D83" w:rsidP="003F5D83">
            <w:pPr>
              <w:jc w:val="center"/>
              <w:rPr>
                <w:rFonts w:ascii="Times New Roman" w:eastAsia="Times New Roman" w:hAnsi="Times New Roman" w:cs="Times New Roman"/>
              </w:rPr>
            </w:pPr>
            <w:proofErr w:type="spellStart"/>
            <w:r w:rsidRPr="00315592">
              <w:rPr>
                <w:rFonts w:ascii="Times New Roman" w:eastAsia="Times New Roman" w:hAnsi="Times New Roman" w:cs="Times New Roman"/>
              </w:rPr>
              <w:t>Уровень</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создания</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предприятий</w:t>
            </w:r>
            <w:proofErr w:type="spellEnd"/>
            <w:r w:rsidRPr="00315592">
              <w:rPr>
                <w:rFonts w:ascii="Times New Roman" w:eastAsia="Times New Roman" w:hAnsi="Times New Roman" w:cs="Times New Roman"/>
              </w:rPr>
              <w:t>, %</w:t>
            </w:r>
          </w:p>
        </w:tc>
        <w:tc>
          <w:tcPr>
            <w:tcW w:w="1957" w:type="dxa"/>
            <w:vAlign w:val="center"/>
            <w:hideMark/>
          </w:tcPr>
          <w:p w:rsidR="003F5D83" w:rsidRPr="00315592" w:rsidRDefault="003F5D83" w:rsidP="003F5D83">
            <w:pPr>
              <w:jc w:val="center"/>
              <w:rPr>
                <w:rFonts w:ascii="Times New Roman" w:eastAsia="Times New Roman" w:hAnsi="Times New Roman" w:cs="Times New Roman"/>
              </w:rPr>
            </w:pPr>
            <w:proofErr w:type="spellStart"/>
            <w:r w:rsidRPr="00315592">
              <w:rPr>
                <w:rFonts w:ascii="Times New Roman" w:eastAsia="Times New Roman" w:hAnsi="Times New Roman" w:cs="Times New Roman"/>
              </w:rPr>
              <w:t>Уровень</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ликвидации</w:t>
            </w:r>
            <w:proofErr w:type="spellEnd"/>
            <w:r w:rsidRPr="00315592">
              <w:rPr>
                <w:rFonts w:ascii="Times New Roman" w:eastAsia="Times New Roman" w:hAnsi="Times New Roman" w:cs="Times New Roman"/>
              </w:rPr>
              <w:t xml:space="preserve"> </w:t>
            </w:r>
            <w:proofErr w:type="spellStart"/>
            <w:r w:rsidRPr="00315592">
              <w:rPr>
                <w:rFonts w:ascii="Times New Roman" w:eastAsia="Times New Roman" w:hAnsi="Times New Roman" w:cs="Times New Roman"/>
              </w:rPr>
              <w:t>предприятий</w:t>
            </w:r>
            <w:proofErr w:type="spellEnd"/>
            <w:r w:rsidRPr="00315592">
              <w:rPr>
                <w:rFonts w:ascii="Times New Roman" w:eastAsia="Times New Roman" w:hAnsi="Times New Roman" w:cs="Times New Roman"/>
              </w:rPr>
              <w:t>, %</w:t>
            </w:r>
          </w:p>
        </w:tc>
      </w:tr>
      <w:tr w:rsidR="003F5D83" w:rsidRPr="00315592" w:rsidTr="002614CD">
        <w:tc>
          <w:tcPr>
            <w:tcW w:w="2122" w:type="dxa"/>
            <w:vAlign w:val="center"/>
            <w:hideMark/>
          </w:tcPr>
          <w:p w:rsidR="003F5D83" w:rsidRPr="00315592" w:rsidRDefault="003F5D83" w:rsidP="003F5D83">
            <w:pPr>
              <w:spacing w:before="100" w:beforeAutospacing="1" w:after="100" w:afterAutospacing="1"/>
              <w:rPr>
                <w:rFonts w:ascii="Times New Roman" w:eastAsia="Times New Roman" w:hAnsi="Times New Roman" w:cs="Times New Roman"/>
              </w:rPr>
            </w:pPr>
            <w:proofErr w:type="spellStart"/>
            <w:r w:rsidRPr="00315592">
              <w:rPr>
                <w:rFonts w:ascii="Times New Roman" w:eastAsia="Times New Roman" w:hAnsi="Times New Roman" w:cs="Times New Roman"/>
              </w:rPr>
              <w:t>Всего</w:t>
            </w:r>
            <w:proofErr w:type="spellEnd"/>
            <w:r w:rsidRPr="00315592">
              <w:rPr>
                <w:rFonts w:ascii="Times New Roman" w:eastAsia="Times New Roman" w:hAnsi="Times New Roman" w:cs="Times New Roman"/>
                <w:lang w:val="ru-RU"/>
              </w:rPr>
              <w:t xml:space="preserve"> по стране </w:t>
            </w:r>
          </w:p>
        </w:tc>
        <w:tc>
          <w:tcPr>
            <w:tcW w:w="1984"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41 802</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75,5</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5,5</w:t>
            </w:r>
          </w:p>
        </w:tc>
        <w:tc>
          <w:tcPr>
            <w:tcW w:w="1957"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9,8</w:t>
            </w:r>
          </w:p>
        </w:tc>
      </w:tr>
      <w:tr w:rsidR="003F5D83" w:rsidRPr="00315592" w:rsidTr="002614CD">
        <w:tc>
          <w:tcPr>
            <w:tcW w:w="2122" w:type="dxa"/>
            <w:vAlign w:val="center"/>
            <w:hideMark/>
          </w:tcPr>
          <w:p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w:t>
            </w:r>
            <w:proofErr w:type="spellStart"/>
            <w:r w:rsidRPr="00315592">
              <w:rPr>
                <w:rFonts w:ascii="Times New Roman" w:eastAsia="Times New Roman" w:hAnsi="Times New Roman" w:cs="Times New Roman"/>
              </w:rPr>
              <w:t>Кишинев</w:t>
            </w:r>
            <w:proofErr w:type="spellEnd"/>
          </w:p>
        </w:tc>
        <w:tc>
          <w:tcPr>
            <w:tcW w:w="1984"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26 358</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72,9</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5,0</w:t>
            </w:r>
          </w:p>
        </w:tc>
        <w:tc>
          <w:tcPr>
            <w:tcW w:w="1957"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10,0</w:t>
            </w:r>
          </w:p>
        </w:tc>
      </w:tr>
      <w:tr w:rsidR="003F5D83" w:rsidRPr="00315592" w:rsidTr="002614CD">
        <w:tc>
          <w:tcPr>
            <w:tcW w:w="2122" w:type="dxa"/>
            <w:vAlign w:val="center"/>
            <w:hideMark/>
          </w:tcPr>
          <w:p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w:t>
            </w:r>
            <w:proofErr w:type="spellStart"/>
            <w:r w:rsidRPr="00315592">
              <w:rPr>
                <w:rFonts w:ascii="Times New Roman" w:eastAsia="Times New Roman" w:hAnsi="Times New Roman" w:cs="Times New Roman"/>
              </w:rPr>
              <w:t>Север</w:t>
            </w:r>
            <w:proofErr w:type="spellEnd"/>
          </w:p>
        </w:tc>
        <w:tc>
          <w:tcPr>
            <w:tcW w:w="1984"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5 306</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82,1</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7,0</w:t>
            </w:r>
          </w:p>
        </w:tc>
        <w:tc>
          <w:tcPr>
            <w:tcW w:w="1957"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8,9</w:t>
            </w:r>
          </w:p>
        </w:tc>
      </w:tr>
      <w:tr w:rsidR="003F5D83" w:rsidRPr="00315592" w:rsidTr="002614CD">
        <w:tc>
          <w:tcPr>
            <w:tcW w:w="2122" w:type="dxa"/>
            <w:vAlign w:val="center"/>
            <w:hideMark/>
          </w:tcPr>
          <w:p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w:t>
            </w:r>
            <w:proofErr w:type="spellStart"/>
            <w:r w:rsidRPr="00315592">
              <w:rPr>
                <w:rFonts w:ascii="Times New Roman" w:eastAsia="Times New Roman" w:hAnsi="Times New Roman" w:cs="Times New Roman"/>
              </w:rPr>
              <w:t>Центр</w:t>
            </w:r>
            <w:proofErr w:type="spellEnd"/>
          </w:p>
        </w:tc>
        <w:tc>
          <w:tcPr>
            <w:tcW w:w="1984"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6 606</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76,9</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5,8</w:t>
            </w:r>
          </w:p>
        </w:tc>
        <w:tc>
          <w:tcPr>
            <w:tcW w:w="1957"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9,7</w:t>
            </w:r>
          </w:p>
        </w:tc>
      </w:tr>
      <w:tr w:rsidR="003F5D83" w:rsidRPr="00315592" w:rsidTr="002614CD">
        <w:tc>
          <w:tcPr>
            <w:tcW w:w="2122" w:type="dxa"/>
            <w:vAlign w:val="center"/>
            <w:hideMark/>
          </w:tcPr>
          <w:p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w:t>
            </w:r>
            <w:proofErr w:type="spellStart"/>
            <w:r w:rsidRPr="00315592">
              <w:rPr>
                <w:rFonts w:ascii="Times New Roman" w:eastAsia="Times New Roman" w:hAnsi="Times New Roman" w:cs="Times New Roman"/>
              </w:rPr>
              <w:t>Юг</w:t>
            </w:r>
            <w:proofErr w:type="spellEnd"/>
          </w:p>
        </w:tc>
        <w:tc>
          <w:tcPr>
            <w:tcW w:w="1984"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2 242</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83,4</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6,9</w:t>
            </w:r>
          </w:p>
        </w:tc>
        <w:tc>
          <w:tcPr>
            <w:tcW w:w="1957"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8,0</w:t>
            </w:r>
          </w:p>
        </w:tc>
      </w:tr>
      <w:tr w:rsidR="003F5D83" w:rsidRPr="00315592" w:rsidTr="002614CD">
        <w:tc>
          <w:tcPr>
            <w:tcW w:w="2122" w:type="dxa"/>
            <w:vAlign w:val="center"/>
            <w:hideMark/>
          </w:tcPr>
          <w:p w:rsidR="003F5D83" w:rsidRPr="00315592" w:rsidRDefault="003F5D83" w:rsidP="003F5D83">
            <w:pPr>
              <w:spacing w:before="100" w:beforeAutospacing="1" w:after="100" w:afterAutospacing="1"/>
              <w:rPr>
                <w:rFonts w:ascii="Times New Roman" w:eastAsia="Times New Roman" w:hAnsi="Times New Roman" w:cs="Times New Roman"/>
              </w:rPr>
            </w:pPr>
            <w:r w:rsidRPr="00315592">
              <w:rPr>
                <w:rFonts w:ascii="Times New Roman" w:eastAsia="Times New Roman" w:hAnsi="Times New Roman" w:cs="Times New Roman"/>
              </w:rPr>
              <w:t xml:space="preserve">РР АТО </w:t>
            </w:r>
            <w:proofErr w:type="spellStart"/>
            <w:r w:rsidRPr="00315592">
              <w:rPr>
                <w:rFonts w:ascii="Times New Roman" w:eastAsia="Times New Roman" w:hAnsi="Times New Roman" w:cs="Times New Roman"/>
              </w:rPr>
              <w:t>Гагаузия</w:t>
            </w:r>
            <w:proofErr w:type="spellEnd"/>
          </w:p>
        </w:tc>
        <w:tc>
          <w:tcPr>
            <w:tcW w:w="1984"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1 290</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84,5</w:t>
            </w:r>
          </w:p>
        </w:tc>
        <w:tc>
          <w:tcPr>
            <w:tcW w:w="1843"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6,2</w:t>
            </w:r>
          </w:p>
        </w:tc>
        <w:tc>
          <w:tcPr>
            <w:tcW w:w="1957" w:type="dxa"/>
            <w:vAlign w:val="center"/>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rPr>
            </w:pPr>
            <w:r w:rsidRPr="00315592">
              <w:rPr>
                <w:rFonts w:ascii="Times New Roman" w:eastAsia="Times New Roman" w:hAnsi="Times New Roman" w:cs="Times New Roman"/>
              </w:rPr>
              <w:t>12,3</w:t>
            </w:r>
          </w:p>
        </w:tc>
      </w:tr>
    </w:tbl>
    <w:p w:rsidR="003F5D83" w:rsidRPr="007E7BD8" w:rsidRDefault="003F5D83" w:rsidP="003F5D83">
      <w:pPr>
        <w:spacing w:after="0" w:line="240" w:lineRule="auto"/>
        <w:ind w:right="-22"/>
        <w:jc w:val="both"/>
        <w:rPr>
          <w:rFonts w:ascii="Times New Roman" w:hAnsi="Times New Roman" w:cs="Times New Roman"/>
          <w:i/>
          <w:iCs/>
          <w:kern w:val="2"/>
          <w:sz w:val="16"/>
          <w:szCs w:val="16"/>
          <w14:ligatures w14:val="standardContextual"/>
        </w:rPr>
      </w:pPr>
      <w:r w:rsidRPr="007E7BD8">
        <w:rPr>
          <w:rFonts w:ascii="Times New Roman" w:hAnsi="Times New Roman" w:cs="Times New Roman"/>
          <w:i/>
          <w:iCs/>
          <w:kern w:val="2"/>
          <w:sz w:val="16"/>
          <w:szCs w:val="16"/>
          <w:lang w:val="ru-RU"/>
          <w14:ligatures w14:val="standardContextual"/>
        </w:rPr>
        <w:t>Источник</w:t>
      </w:r>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Biroul</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Național</w:t>
      </w:r>
      <w:proofErr w:type="spellEnd"/>
      <w:r w:rsidRPr="007E7BD8">
        <w:rPr>
          <w:rFonts w:ascii="Times New Roman" w:hAnsi="Times New Roman" w:cs="Times New Roman"/>
          <w:i/>
          <w:iCs/>
          <w:kern w:val="2"/>
          <w:sz w:val="16"/>
          <w:szCs w:val="16"/>
          <w14:ligatures w14:val="standardContextual"/>
        </w:rPr>
        <w:t xml:space="preserve"> de </w:t>
      </w:r>
      <w:proofErr w:type="spellStart"/>
      <w:r w:rsidRPr="007E7BD8">
        <w:rPr>
          <w:rFonts w:ascii="Times New Roman" w:hAnsi="Times New Roman" w:cs="Times New Roman"/>
          <w:i/>
          <w:iCs/>
          <w:kern w:val="2"/>
          <w:sz w:val="16"/>
          <w:szCs w:val="16"/>
          <w14:ligatures w14:val="standardContextual"/>
        </w:rPr>
        <w:t>Statistică</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Demografia</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întreprinderilor</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în</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Republica</w:t>
      </w:r>
      <w:proofErr w:type="spellEnd"/>
      <w:r w:rsidRPr="007E7BD8">
        <w:rPr>
          <w:rFonts w:ascii="Times New Roman" w:hAnsi="Times New Roman" w:cs="Times New Roman"/>
          <w:i/>
          <w:iCs/>
          <w:kern w:val="2"/>
          <w:sz w:val="16"/>
          <w:szCs w:val="16"/>
          <w14:ligatures w14:val="standardContextual"/>
        </w:rPr>
        <w:t xml:space="preserve"> Moldova </w:t>
      </w:r>
      <w:proofErr w:type="spellStart"/>
      <w:r w:rsidRPr="007E7BD8">
        <w:rPr>
          <w:rFonts w:ascii="Times New Roman" w:hAnsi="Times New Roman" w:cs="Times New Roman"/>
          <w:i/>
          <w:iCs/>
          <w:kern w:val="2"/>
          <w:sz w:val="16"/>
          <w:szCs w:val="16"/>
          <w14:ligatures w14:val="standardContextual"/>
        </w:rPr>
        <w:t>în</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anul</w:t>
      </w:r>
      <w:proofErr w:type="spellEnd"/>
      <w:r w:rsidRPr="007E7BD8">
        <w:rPr>
          <w:rFonts w:ascii="Times New Roman" w:hAnsi="Times New Roman" w:cs="Times New Roman"/>
          <w:i/>
          <w:iCs/>
          <w:kern w:val="2"/>
          <w:sz w:val="16"/>
          <w:szCs w:val="16"/>
          <w14:ligatures w14:val="standardContextual"/>
        </w:rPr>
        <w:t xml:space="preserve"> 2023 [</w:t>
      </w:r>
      <w:proofErr w:type="spellStart"/>
      <w:r w:rsidRPr="007E7BD8">
        <w:rPr>
          <w:rFonts w:ascii="Times New Roman" w:hAnsi="Times New Roman" w:cs="Times New Roman"/>
          <w:i/>
          <w:iCs/>
          <w:kern w:val="2"/>
          <w:sz w:val="16"/>
          <w:szCs w:val="16"/>
          <w14:ligatures w14:val="standardContextual"/>
        </w:rPr>
        <w:t>resursă</w:t>
      </w:r>
      <w:proofErr w:type="spellEnd"/>
      <w:r w:rsidRPr="007E7BD8">
        <w:rPr>
          <w:rFonts w:ascii="Times New Roman" w:hAnsi="Times New Roman" w:cs="Times New Roman"/>
          <w:i/>
          <w:iCs/>
          <w:kern w:val="2"/>
          <w:sz w:val="16"/>
          <w:szCs w:val="16"/>
          <w14:ligatures w14:val="standardContextual"/>
        </w:rPr>
        <w:t xml:space="preserve"> </w:t>
      </w:r>
      <w:proofErr w:type="spellStart"/>
      <w:r w:rsidRPr="007E7BD8">
        <w:rPr>
          <w:rFonts w:ascii="Times New Roman" w:hAnsi="Times New Roman" w:cs="Times New Roman"/>
          <w:i/>
          <w:iCs/>
          <w:kern w:val="2"/>
          <w:sz w:val="16"/>
          <w:szCs w:val="16"/>
          <w14:ligatures w14:val="standardContextual"/>
        </w:rPr>
        <w:t>electronică</w:t>
      </w:r>
      <w:proofErr w:type="spellEnd"/>
      <w:r w:rsidRPr="007E7BD8">
        <w:rPr>
          <w:rFonts w:ascii="Times New Roman" w:hAnsi="Times New Roman" w:cs="Times New Roman"/>
          <w:i/>
          <w:iCs/>
          <w:kern w:val="2"/>
          <w:sz w:val="16"/>
          <w:szCs w:val="16"/>
          <w14:ligatures w14:val="standardContextual"/>
        </w:rPr>
        <w:t xml:space="preserve">]. – </w:t>
      </w:r>
      <w:proofErr w:type="spellStart"/>
      <w:r w:rsidRPr="007E7BD8">
        <w:rPr>
          <w:rFonts w:ascii="Times New Roman" w:hAnsi="Times New Roman" w:cs="Times New Roman"/>
          <w:i/>
          <w:iCs/>
          <w:kern w:val="2"/>
          <w:sz w:val="16"/>
          <w:szCs w:val="16"/>
          <w14:ligatures w14:val="standardContextual"/>
        </w:rPr>
        <w:t>Disponibil</w:t>
      </w:r>
      <w:proofErr w:type="spellEnd"/>
      <w:r w:rsidRPr="007E7BD8">
        <w:rPr>
          <w:rFonts w:ascii="Times New Roman" w:hAnsi="Times New Roman" w:cs="Times New Roman"/>
          <w:i/>
          <w:iCs/>
          <w:kern w:val="2"/>
          <w:sz w:val="16"/>
          <w:szCs w:val="16"/>
          <w14:ligatures w14:val="standardContextual"/>
        </w:rPr>
        <w:t xml:space="preserve">: </w:t>
      </w:r>
      <w:hyperlink r:id="rId21" w:tgtFrame="_new" w:history="1">
        <w:proofErr w:type="spellStart"/>
        <w:r w:rsidRPr="007E7BD8">
          <w:rPr>
            <w:rFonts w:ascii="Times New Roman" w:hAnsi="Times New Roman" w:cs="Times New Roman"/>
            <w:i/>
            <w:iCs/>
            <w:color w:val="0563C1" w:themeColor="hyperlink"/>
            <w:kern w:val="2"/>
            <w:sz w:val="16"/>
            <w:szCs w:val="16"/>
            <w:u w:val="single"/>
            <w14:ligatures w14:val="standardContextual"/>
          </w:rPr>
          <w:t>Demografia</w:t>
        </w:r>
        <w:proofErr w:type="spellEnd"/>
        <w:r w:rsidRPr="007E7BD8">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7E7BD8">
          <w:rPr>
            <w:rFonts w:ascii="Times New Roman" w:hAnsi="Times New Roman" w:cs="Times New Roman"/>
            <w:i/>
            <w:iCs/>
            <w:color w:val="0563C1" w:themeColor="hyperlink"/>
            <w:kern w:val="2"/>
            <w:sz w:val="16"/>
            <w:szCs w:val="16"/>
            <w:u w:val="single"/>
            <w14:ligatures w14:val="standardContextual"/>
          </w:rPr>
          <w:t>întreprinderilor</w:t>
        </w:r>
        <w:proofErr w:type="spellEnd"/>
        <w:r w:rsidRPr="007E7BD8">
          <w:rPr>
            <w:rFonts w:ascii="Times New Roman" w:hAnsi="Times New Roman" w:cs="Times New Roman"/>
            <w:i/>
            <w:iCs/>
            <w:color w:val="0563C1" w:themeColor="hyperlink"/>
            <w:kern w:val="2"/>
            <w:sz w:val="16"/>
            <w:szCs w:val="16"/>
            <w:u w:val="single"/>
            <w14:ligatures w14:val="standardContextual"/>
          </w:rPr>
          <w:t xml:space="preserve"> 2023</w:t>
        </w:r>
      </w:hyperlink>
    </w:p>
    <w:p w:rsidR="003F5D83" w:rsidRPr="007E7BD8"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7E7BD8">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7E7BD8">
        <w:rPr>
          <w:rFonts w:ascii="Times New Roman" w:hAnsi="Times New Roman" w:cs="Times New Roman"/>
          <w:i/>
          <w:iCs/>
          <w:kern w:val="2"/>
          <w:sz w:val="16"/>
          <w:szCs w:val="16"/>
          <w14:ligatures w14:val="standardContextual"/>
        </w:rPr>
        <w:t>StatBank</w:t>
      </w:r>
      <w:proofErr w:type="spellEnd"/>
      <w:r w:rsidRPr="007E7BD8">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rsidR="003F5D83" w:rsidRPr="00315592" w:rsidRDefault="003F5D83" w:rsidP="003F5D83">
      <w:pPr>
        <w:spacing w:after="0" w:line="240" w:lineRule="auto"/>
        <w:ind w:left="284" w:right="403"/>
        <w:jc w:val="both"/>
        <w:rPr>
          <w:rFonts w:ascii="Times New Roman" w:hAnsi="Times New Roman" w:cs="Times New Roman"/>
          <w:i/>
          <w:iCs/>
          <w:kern w:val="2"/>
          <w:sz w:val="20"/>
          <w:szCs w:val="20"/>
          <w:lang w:val="ru-RU"/>
          <w14:ligatures w14:val="standardContextual"/>
        </w:rPr>
      </w:pPr>
    </w:p>
    <w:p w:rsidR="003F5D83" w:rsidRPr="0031559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15592">
        <w:rPr>
          <w:rFonts w:ascii="Times New Roman" w:hAnsi="Times New Roman" w:cs="Times New Roman"/>
          <w:kern w:val="2"/>
          <w:sz w:val="24"/>
          <w:szCs w:val="24"/>
          <w:lang w:val="ru-RU"/>
          <w14:ligatures w14:val="standardContextual"/>
        </w:rPr>
        <w:t>Уровень создания новых предприятий варьируется по регионам: наиболее высокие значения зафиксированы в регионе Север (7,0%) и Юг (6,9%), тогда как в АТО Гагаузия данный показатель составляет 6,2%, что также превышает среднереспубликанский уровень (5,5%). В регионе Центр уровень создания предприятий составляет 5,8%, а в муниципии Кишинёв — 5,0%.</w:t>
      </w:r>
    </w:p>
    <w:p w:rsidR="003F5D83" w:rsidRPr="0031559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15592">
        <w:rPr>
          <w:rFonts w:ascii="Times New Roman" w:hAnsi="Times New Roman" w:cs="Times New Roman"/>
          <w:kern w:val="2"/>
          <w:sz w:val="24"/>
          <w:szCs w:val="24"/>
          <w:lang w:val="ru-RU"/>
          <w14:ligatures w14:val="standardContextual"/>
        </w:rPr>
        <w:t xml:space="preserve">Вместе с тем уровень ликвидации предприятий также существенно различается. Наименьшие значения наблюдаются в регионе Юг (8,0%) и Север (8,9%), тогда как в муниципии Кишинёв и регионе Центр показатели составляют 10,0% и 9,7% соответственно. В АТО Гагаузия зафиксирован наибольший уровень ликвидации предприятий — 12,3%, что </w:t>
      </w:r>
      <w:r w:rsidRPr="00315592">
        <w:rPr>
          <w:rFonts w:ascii="Times New Roman" w:hAnsi="Times New Roman" w:cs="Times New Roman"/>
          <w:kern w:val="2"/>
          <w:sz w:val="24"/>
          <w:szCs w:val="24"/>
          <w:lang w:val="ru-RU"/>
          <w14:ligatures w14:val="standardContextual"/>
        </w:rPr>
        <w:lastRenderedPageBreak/>
        <w:t>значительно превышает средний показатель по стране (9,8%) и указывает на повышенные риски ведения бизнеса.</w:t>
      </w:r>
    </w:p>
    <w:p w:rsidR="003F5D83" w:rsidRPr="0031559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15592">
        <w:rPr>
          <w:rFonts w:ascii="Times New Roman" w:hAnsi="Times New Roman" w:cs="Times New Roman"/>
          <w:kern w:val="2"/>
          <w:sz w:val="24"/>
          <w:szCs w:val="24"/>
          <w:lang w:val="ru-RU"/>
          <w14:ligatures w14:val="standardContextual"/>
        </w:rPr>
        <w:t>Особого внимания заслуживает ситуация в АТО Гагаузия, где при наивысшем уровне активных предприятий (84,5%) одновременно фиксируется и максимальный уровень их ликвидации (12,3%). Такая комбинация указывает на противоречивый характер развития предпринимательского сектора: с одной стороны, наблюдается высокая вовлечённость предприятий в экономическую деятельность, с другой — сохраняется их недостаточная устойчивость и повышенная уязвимость к экономическим рискам.</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Число активных предприятий на 1000 жителей позволяет более объективно оценить уровень предпринимательской активности в регионах (рис</w:t>
      </w:r>
      <w:r>
        <w:rPr>
          <w:rFonts w:ascii="Times New Roman" w:eastAsia="Times New Roman" w:hAnsi="Times New Roman" w:cs="Times New Roman"/>
          <w:sz w:val="24"/>
          <w:szCs w:val="24"/>
          <w:lang w:val="ru-RU"/>
        </w:rPr>
        <w:t>унок 2.5</w:t>
      </w:r>
      <w:r w:rsidRPr="0031559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1F0E6B" w:rsidRDefault="001F0E6B" w:rsidP="003F5D83">
      <w:pPr>
        <w:spacing w:after="0" w:line="240" w:lineRule="auto"/>
        <w:ind w:firstLine="709"/>
        <w:jc w:val="both"/>
        <w:rPr>
          <w:rFonts w:ascii="Times New Roman" w:eastAsia="Times New Roman" w:hAnsi="Times New Roman" w:cs="Times New Roman"/>
          <w:sz w:val="24"/>
          <w:szCs w:val="24"/>
          <w:lang w:val="ru-RU"/>
        </w:rPr>
      </w:pPr>
    </w:p>
    <w:p w:rsidR="002614CD" w:rsidRPr="00315592" w:rsidRDefault="002614CD" w:rsidP="002614CD">
      <w:pPr>
        <w:spacing w:after="0" w:line="240" w:lineRule="auto"/>
        <w:ind w:right="-143" w:firstLine="709"/>
        <w:jc w:val="both"/>
        <w:rPr>
          <w:rFonts w:ascii="Times New Roman" w:eastAsia="Times New Roman" w:hAnsi="Times New Roman" w:cs="Times New Roman"/>
          <w:sz w:val="24"/>
          <w:szCs w:val="24"/>
          <w:lang w:val="ru-RU"/>
        </w:rPr>
      </w:pPr>
    </w:p>
    <w:p w:rsidR="003F5D83" w:rsidRPr="00315592" w:rsidRDefault="003F5D83" w:rsidP="002614CD">
      <w:pPr>
        <w:spacing w:after="0" w:line="240" w:lineRule="auto"/>
        <w:ind w:right="-143"/>
        <w:jc w:val="both"/>
        <w:rPr>
          <w:rFonts w:ascii="Times New Roman" w:eastAsia="Times New Roman" w:hAnsi="Times New Roman" w:cs="Times New Roman"/>
          <w:sz w:val="24"/>
          <w:szCs w:val="24"/>
          <w:lang w:val="ru-RU"/>
        </w:rPr>
      </w:pPr>
      <w:r w:rsidRPr="00645B12">
        <w:rPr>
          <w:noProof/>
          <w:shd w:val="clear" w:color="auto" w:fill="FFC6C6"/>
          <w:lang w:val="ru-RU" w:eastAsia="ru-RU"/>
          <w14:ligatures w14:val="standardContextual"/>
        </w:rPr>
        <w:drawing>
          <wp:inline distT="0" distB="0" distL="0" distR="0" wp14:anchorId="05A3209B" wp14:editId="5E269C9E">
            <wp:extent cx="6242050" cy="2360815"/>
            <wp:effectExtent l="0" t="0" r="6350" b="1905"/>
            <wp:docPr id="1896108139" name="Диаграмма 1">
              <a:extLst xmlns:a="http://schemas.openxmlformats.org/drawingml/2006/main">
                <a:ext uri="{FF2B5EF4-FFF2-40B4-BE49-F238E27FC236}">
                  <a16:creationId xmlns:a16="http://schemas.microsoft.com/office/drawing/2014/main" id="{7CDFBD0C-2663-F5A7-6F6C-610D0153C77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96108139" name="Диаграмма 1">
                      <a:extLst>
                        <a:ext uri="{FF2B5EF4-FFF2-40B4-BE49-F238E27FC236}">
                          <a16:creationId xmlns:a16="http://schemas.microsoft.com/office/drawing/2014/main" id="{7CDFBD0C-2663-F5A7-6F6C-610D0153C775}"/>
                        </a:ext>
                      </a:extLst>
                    </pic:cNvPr>
                    <pic:cNvPicPr>
                      <a:picLocks noGrp="1" noRot="1" noChangeAspect="1" noMove="1" noResize="1" noEditPoints="1" noAdjustHandles="1" noChangeArrowheads="1" noChangeShapeType="1"/>
                    </pic:cNvPicPr>
                  </pic:nvPicPr>
                  <pic:blipFill>
                    <a:blip r:embed="rId22"/>
                    <a:stretch>
                      <a:fillRect/>
                    </a:stretch>
                  </pic:blipFill>
                  <pic:spPr>
                    <a:xfrm>
                      <a:off x="0" y="0"/>
                      <a:ext cx="6242050" cy="2360295"/>
                    </a:xfrm>
                    <a:prstGeom prst="rect">
                      <a:avLst/>
                    </a:prstGeom>
                  </pic:spPr>
                </pic:pic>
              </a:graphicData>
            </a:graphic>
          </wp:inline>
        </w:drawing>
      </w:r>
    </w:p>
    <w:p w:rsidR="003F5D83" w:rsidRPr="00315592" w:rsidRDefault="003F5D83" w:rsidP="003F5D83">
      <w:pPr>
        <w:spacing w:after="0" w:line="240" w:lineRule="auto"/>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унок</w:t>
      </w:r>
      <w:r w:rsidRPr="00315592">
        <w:rPr>
          <w:rFonts w:ascii="Times New Roman" w:eastAsia="Times New Roman" w:hAnsi="Times New Roman" w:cs="Times New Roman"/>
          <w:b/>
          <w:bCs/>
          <w:sz w:val="24"/>
          <w:szCs w:val="24"/>
          <w:lang w:val="ru-RU"/>
        </w:rPr>
        <w:t xml:space="preserve"> </w:t>
      </w:r>
      <w:r>
        <w:rPr>
          <w:rFonts w:ascii="Times New Roman" w:eastAsia="Times New Roman" w:hAnsi="Times New Roman" w:cs="Times New Roman"/>
          <w:b/>
          <w:bCs/>
          <w:sz w:val="24"/>
          <w:szCs w:val="24"/>
          <w:lang w:val="ru-RU"/>
        </w:rPr>
        <w:t>2.5</w:t>
      </w:r>
      <w:r w:rsidRPr="00315592">
        <w:rPr>
          <w:rFonts w:ascii="Times New Roman" w:eastAsia="Times New Roman" w:hAnsi="Times New Roman" w:cs="Times New Roman"/>
          <w:b/>
          <w:bCs/>
          <w:sz w:val="24"/>
          <w:szCs w:val="24"/>
          <w:lang w:val="ru-RU"/>
        </w:rPr>
        <w:t xml:space="preserve">. Число активных предприятий по регионам развития на 1000 жителей, 2023 </w:t>
      </w:r>
    </w:p>
    <w:p w:rsidR="003F5D83" w:rsidRPr="00CC0D10" w:rsidRDefault="003F5D83" w:rsidP="003F5D83">
      <w:pPr>
        <w:spacing w:after="0" w:line="240" w:lineRule="auto"/>
        <w:jc w:val="both"/>
        <w:rPr>
          <w:rFonts w:ascii="Times New Roman" w:eastAsia="Times New Roman" w:hAnsi="Times New Roman" w:cs="Times New Roman"/>
          <w:i/>
          <w:iCs/>
          <w:sz w:val="16"/>
          <w:szCs w:val="16"/>
          <w:lang w:val="ru-RU"/>
        </w:rPr>
      </w:pPr>
      <w:r w:rsidRPr="00CC0D10">
        <w:rPr>
          <w:rFonts w:ascii="Times New Roman" w:eastAsia="Times New Roman" w:hAnsi="Times New Roman" w:cs="Times New Roman"/>
          <w:i/>
          <w:iCs/>
          <w:sz w:val="16"/>
          <w:szCs w:val="16"/>
          <w:lang w:val="ru-RU"/>
        </w:rPr>
        <w:t>Источник: рассчитано АРР на основе таблицы 2.1. и таблицы 2.7.</w:t>
      </w:r>
    </w:p>
    <w:p w:rsidR="003F5D83" w:rsidRDefault="003F5D83" w:rsidP="003F5D83">
      <w:pPr>
        <w:spacing w:after="0" w:line="240" w:lineRule="auto"/>
        <w:ind w:left="426"/>
        <w:jc w:val="both"/>
        <w:rPr>
          <w:rFonts w:ascii="Times New Roman" w:eastAsia="Times New Roman" w:hAnsi="Times New Roman" w:cs="Times New Roman"/>
          <w:i/>
          <w:iCs/>
          <w:sz w:val="20"/>
          <w:szCs w:val="20"/>
          <w:lang w:val="ru-RU"/>
        </w:rPr>
      </w:pPr>
    </w:p>
    <w:p w:rsidR="001F0E6B" w:rsidRPr="00315592" w:rsidRDefault="001F0E6B" w:rsidP="003F5D83">
      <w:pPr>
        <w:spacing w:after="0" w:line="240" w:lineRule="auto"/>
        <w:ind w:left="426"/>
        <w:jc w:val="both"/>
        <w:rPr>
          <w:rFonts w:ascii="Times New Roman" w:eastAsia="Times New Roman" w:hAnsi="Times New Roman" w:cs="Times New Roman"/>
          <w:i/>
          <w:iCs/>
          <w:sz w:val="20"/>
          <w:szCs w:val="20"/>
          <w:lang w:val="ru-RU"/>
        </w:rPr>
      </w:pP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Среднереспубликанский уровень активных предприятий составляет 16,9 предприятия на 1000 жителей. На этом фоне АТО Гагаузия характеризуется показателем 11,2, что ниже среднего по стране, однако выше, чем в регионах Центр (9,5), Север (7,9) и Юг (6,7). Таким образом, по данному показателю АТО Гагаузия уступает лишь муниципию Кишинёв, занимая второе место среди регионов развития. При этом следует учитывать, что относительно более высокий показатель во многом обусловлен меньшей численностью населения региона, однако одновременно он отражает сравнительно более высокую концентрацию предпринимательской деятельности по сравнению с другими регионами, при сохранении потенциала для её дальнейшего развития.</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w:t>
      </w:r>
      <w:r w:rsidRPr="00315592">
        <w:rPr>
          <w:rFonts w:ascii="Times New Roman" w:eastAsia="Times New Roman" w:hAnsi="Times New Roman" w:cs="Times New Roman"/>
          <w:sz w:val="24"/>
          <w:szCs w:val="24"/>
          <w:lang w:val="ru-RU"/>
        </w:rPr>
        <w:t>есмотря на активное создание предприятий, важно проанализировать масштабы экономической деятельности через показатели внешней торговли (табл</w:t>
      </w:r>
      <w:r>
        <w:rPr>
          <w:rFonts w:ascii="Times New Roman" w:eastAsia="Times New Roman" w:hAnsi="Times New Roman" w:cs="Times New Roman"/>
          <w:sz w:val="24"/>
          <w:szCs w:val="24"/>
          <w:lang w:val="ru-RU"/>
        </w:rPr>
        <w:t>ица 2.8</w:t>
      </w:r>
      <w:r w:rsidRPr="0031559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p>
    <w:p w:rsidR="002614CD" w:rsidRDefault="002614CD" w:rsidP="003F5D83">
      <w:pPr>
        <w:spacing w:after="0" w:line="240" w:lineRule="auto"/>
        <w:ind w:firstLine="709"/>
        <w:jc w:val="both"/>
        <w:rPr>
          <w:rFonts w:ascii="Times New Roman" w:eastAsia="Times New Roman" w:hAnsi="Times New Roman" w:cs="Times New Roman"/>
          <w:sz w:val="24"/>
          <w:szCs w:val="24"/>
          <w:lang w:val="ru-RU"/>
        </w:rPr>
      </w:pPr>
    </w:p>
    <w:p w:rsidR="001F0E6B" w:rsidRDefault="001F0E6B" w:rsidP="003F5D83">
      <w:pPr>
        <w:spacing w:after="0" w:line="240" w:lineRule="auto"/>
        <w:ind w:firstLine="709"/>
        <w:jc w:val="both"/>
        <w:rPr>
          <w:rFonts w:ascii="Times New Roman" w:eastAsia="Times New Roman" w:hAnsi="Times New Roman" w:cs="Times New Roman"/>
          <w:sz w:val="24"/>
          <w:szCs w:val="24"/>
          <w:lang w:val="ru-RU"/>
        </w:rPr>
      </w:pPr>
    </w:p>
    <w:p w:rsidR="003F5D83" w:rsidRPr="00A75A47" w:rsidRDefault="003F5D83" w:rsidP="002614CD">
      <w:pPr>
        <w:spacing w:after="0" w:line="240" w:lineRule="auto"/>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b/>
          <w:bCs/>
          <w:sz w:val="24"/>
          <w:szCs w:val="24"/>
          <w:lang w:val="ru-RU"/>
        </w:rPr>
        <w:t>Таблиц</w:t>
      </w:r>
      <w:r>
        <w:rPr>
          <w:rFonts w:ascii="Times New Roman" w:eastAsia="Times New Roman" w:hAnsi="Times New Roman" w:cs="Times New Roman"/>
          <w:b/>
          <w:bCs/>
          <w:sz w:val="24"/>
          <w:szCs w:val="24"/>
          <w:lang w:val="ru-RU"/>
        </w:rPr>
        <w:t xml:space="preserve">а 2.8. </w:t>
      </w:r>
      <w:r w:rsidRPr="00315592">
        <w:rPr>
          <w:rFonts w:ascii="Times New Roman" w:eastAsia="Times New Roman" w:hAnsi="Times New Roman" w:cs="Times New Roman"/>
          <w:b/>
          <w:bCs/>
          <w:sz w:val="24"/>
          <w:szCs w:val="24"/>
          <w:lang w:val="ru-RU"/>
        </w:rPr>
        <w:t>Динамика показателей внешней торговли АТО Гагаузия, млн леев</w:t>
      </w:r>
    </w:p>
    <w:p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 xml:space="preserve"> (2022–2024 гг.)</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1918"/>
        <w:gridCol w:w="1918"/>
        <w:gridCol w:w="1918"/>
      </w:tblGrid>
      <w:tr w:rsidR="003F5D83" w:rsidRPr="00315592" w:rsidTr="002614CD">
        <w:trPr>
          <w:trHeight w:val="264"/>
        </w:trPr>
        <w:tc>
          <w:tcPr>
            <w:tcW w:w="0" w:type="auto"/>
            <w:hideMark/>
          </w:tcPr>
          <w:p w:rsidR="003F5D83" w:rsidRPr="00315592" w:rsidRDefault="003F5D83" w:rsidP="003F5D83">
            <w:pPr>
              <w:spacing w:before="100" w:beforeAutospacing="1" w:after="100" w:afterAutospacing="1"/>
              <w:jc w:val="center"/>
              <w:rPr>
                <w:rFonts w:ascii="Times New Roman" w:eastAsia="Times New Roman" w:hAnsi="Times New Roman" w:cs="Times New Roman"/>
                <w:b/>
                <w:bCs/>
                <w:sz w:val="24"/>
                <w:szCs w:val="24"/>
              </w:rPr>
            </w:pPr>
            <w:proofErr w:type="spellStart"/>
            <w:r w:rsidRPr="00315592">
              <w:rPr>
                <w:rFonts w:ascii="Times New Roman" w:eastAsia="Times New Roman" w:hAnsi="Times New Roman" w:cs="Times New Roman"/>
                <w:b/>
                <w:bCs/>
                <w:sz w:val="24"/>
                <w:szCs w:val="24"/>
              </w:rPr>
              <w:t>Показатель</w:t>
            </w:r>
            <w:proofErr w:type="spellEnd"/>
          </w:p>
        </w:tc>
        <w:tc>
          <w:tcPr>
            <w:tcW w:w="0" w:type="auto"/>
            <w:hideMark/>
          </w:tcPr>
          <w:p w:rsidR="003F5D83" w:rsidRPr="00315592" w:rsidRDefault="003F5D83" w:rsidP="003F5D83">
            <w:pPr>
              <w:spacing w:before="100" w:beforeAutospacing="1" w:after="100" w:afterAutospacing="1"/>
              <w:ind w:firstLine="567"/>
              <w:jc w:val="center"/>
              <w:rPr>
                <w:rFonts w:ascii="Times New Roman" w:eastAsia="Times New Roman" w:hAnsi="Times New Roman" w:cs="Times New Roman"/>
                <w:b/>
                <w:bCs/>
                <w:sz w:val="24"/>
                <w:szCs w:val="24"/>
              </w:rPr>
            </w:pPr>
            <w:r w:rsidRPr="00315592">
              <w:rPr>
                <w:rFonts w:ascii="Times New Roman" w:eastAsia="Times New Roman" w:hAnsi="Times New Roman" w:cs="Times New Roman"/>
                <w:b/>
                <w:bCs/>
                <w:sz w:val="24"/>
                <w:szCs w:val="24"/>
              </w:rPr>
              <w:t>2022</w:t>
            </w:r>
          </w:p>
        </w:tc>
        <w:tc>
          <w:tcPr>
            <w:tcW w:w="0" w:type="auto"/>
            <w:hideMark/>
          </w:tcPr>
          <w:p w:rsidR="003F5D83" w:rsidRPr="00315592" w:rsidRDefault="003F5D83" w:rsidP="003F5D83">
            <w:pPr>
              <w:spacing w:before="100" w:beforeAutospacing="1" w:after="100" w:afterAutospacing="1"/>
              <w:ind w:firstLine="567"/>
              <w:jc w:val="center"/>
              <w:rPr>
                <w:rFonts w:ascii="Times New Roman" w:eastAsia="Times New Roman" w:hAnsi="Times New Roman" w:cs="Times New Roman"/>
                <w:b/>
                <w:bCs/>
                <w:sz w:val="24"/>
                <w:szCs w:val="24"/>
              </w:rPr>
            </w:pPr>
            <w:r w:rsidRPr="00315592">
              <w:rPr>
                <w:rFonts w:ascii="Times New Roman" w:eastAsia="Times New Roman" w:hAnsi="Times New Roman" w:cs="Times New Roman"/>
                <w:b/>
                <w:bCs/>
                <w:sz w:val="24"/>
                <w:szCs w:val="24"/>
              </w:rPr>
              <w:t>2023</w:t>
            </w:r>
          </w:p>
        </w:tc>
        <w:tc>
          <w:tcPr>
            <w:tcW w:w="0" w:type="auto"/>
            <w:hideMark/>
          </w:tcPr>
          <w:p w:rsidR="003F5D83" w:rsidRPr="00315592" w:rsidRDefault="003F5D83" w:rsidP="003F5D83">
            <w:pPr>
              <w:spacing w:before="100" w:beforeAutospacing="1" w:after="100" w:afterAutospacing="1"/>
              <w:ind w:firstLine="567"/>
              <w:jc w:val="center"/>
              <w:rPr>
                <w:rFonts w:ascii="Times New Roman" w:eastAsia="Times New Roman" w:hAnsi="Times New Roman" w:cs="Times New Roman"/>
                <w:b/>
                <w:bCs/>
                <w:sz w:val="24"/>
                <w:szCs w:val="24"/>
              </w:rPr>
            </w:pPr>
            <w:r w:rsidRPr="00315592">
              <w:rPr>
                <w:rFonts w:ascii="Times New Roman" w:eastAsia="Times New Roman" w:hAnsi="Times New Roman" w:cs="Times New Roman"/>
                <w:b/>
                <w:bCs/>
                <w:sz w:val="24"/>
                <w:szCs w:val="24"/>
              </w:rPr>
              <w:t>2024</w:t>
            </w:r>
          </w:p>
        </w:tc>
      </w:tr>
      <w:tr w:rsidR="003F5D83" w:rsidRPr="00315592" w:rsidTr="002614CD">
        <w:trPr>
          <w:trHeight w:val="276"/>
        </w:trPr>
        <w:tc>
          <w:tcPr>
            <w:tcW w:w="0" w:type="auto"/>
            <w:hideMark/>
          </w:tcPr>
          <w:p w:rsidR="003F5D83" w:rsidRPr="000E2CEB" w:rsidRDefault="003F5D83" w:rsidP="003F5D83">
            <w:pPr>
              <w:spacing w:before="100" w:beforeAutospacing="1" w:after="100" w:afterAutospacing="1"/>
              <w:jc w:val="both"/>
              <w:rPr>
                <w:rFonts w:ascii="Times New Roman" w:eastAsia="Times New Roman" w:hAnsi="Times New Roman" w:cs="Times New Roman"/>
                <w:sz w:val="24"/>
                <w:szCs w:val="24"/>
              </w:rPr>
            </w:pPr>
            <w:proofErr w:type="spellStart"/>
            <w:r w:rsidRPr="000E2CEB">
              <w:rPr>
                <w:rFonts w:ascii="Times New Roman" w:eastAsia="Times New Roman" w:hAnsi="Times New Roman" w:cs="Times New Roman"/>
                <w:sz w:val="24"/>
                <w:szCs w:val="24"/>
              </w:rPr>
              <w:t>Экспорт</w:t>
            </w:r>
            <w:proofErr w:type="spellEnd"/>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2 915,9</w:t>
            </w:r>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2 796,3</w:t>
            </w:r>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2 544,5</w:t>
            </w:r>
          </w:p>
        </w:tc>
      </w:tr>
      <w:tr w:rsidR="003F5D83" w:rsidRPr="00315592" w:rsidTr="002614CD">
        <w:trPr>
          <w:trHeight w:val="264"/>
        </w:trPr>
        <w:tc>
          <w:tcPr>
            <w:tcW w:w="0" w:type="auto"/>
            <w:hideMark/>
          </w:tcPr>
          <w:p w:rsidR="003F5D83" w:rsidRPr="000E2CEB" w:rsidRDefault="003F5D83" w:rsidP="003F5D83">
            <w:pPr>
              <w:spacing w:before="100" w:beforeAutospacing="1" w:after="100" w:afterAutospacing="1"/>
              <w:jc w:val="both"/>
              <w:rPr>
                <w:rFonts w:ascii="Times New Roman" w:eastAsia="Times New Roman" w:hAnsi="Times New Roman" w:cs="Times New Roman"/>
                <w:sz w:val="24"/>
                <w:szCs w:val="24"/>
              </w:rPr>
            </w:pPr>
            <w:proofErr w:type="spellStart"/>
            <w:r w:rsidRPr="000E2CEB">
              <w:rPr>
                <w:rFonts w:ascii="Times New Roman" w:eastAsia="Times New Roman" w:hAnsi="Times New Roman" w:cs="Times New Roman"/>
                <w:sz w:val="24"/>
                <w:szCs w:val="24"/>
              </w:rPr>
              <w:t>Импорт</w:t>
            </w:r>
            <w:proofErr w:type="spellEnd"/>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3 033,0</w:t>
            </w:r>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2 492,1</w:t>
            </w:r>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2 747,2</w:t>
            </w:r>
          </w:p>
        </w:tc>
      </w:tr>
      <w:tr w:rsidR="003F5D83" w:rsidRPr="00315592" w:rsidTr="002614CD">
        <w:trPr>
          <w:trHeight w:val="276"/>
        </w:trPr>
        <w:tc>
          <w:tcPr>
            <w:tcW w:w="0" w:type="auto"/>
            <w:hideMark/>
          </w:tcPr>
          <w:p w:rsidR="003F5D83" w:rsidRPr="000E2CEB" w:rsidRDefault="003F5D83" w:rsidP="003F5D83">
            <w:pPr>
              <w:spacing w:before="100" w:beforeAutospacing="1" w:after="100" w:afterAutospacing="1"/>
              <w:jc w:val="both"/>
              <w:rPr>
                <w:rFonts w:ascii="Times New Roman" w:eastAsia="Times New Roman" w:hAnsi="Times New Roman" w:cs="Times New Roman"/>
                <w:sz w:val="24"/>
                <w:szCs w:val="24"/>
              </w:rPr>
            </w:pPr>
            <w:proofErr w:type="spellStart"/>
            <w:r w:rsidRPr="000E2CEB">
              <w:rPr>
                <w:rFonts w:ascii="Times New Roman" w:eastAsia="Times New Roman" w:hAnsi="Times New Roman" w:cs="Times New Roman"/>
                <w:sz w:val="24"/>
                <w:szCs w:val="24"/>
              </w:rPr>
              <w:t>Внешнеторговый</w:t>
            </w:r>
            <w:proofErr w:type="spellEnd"/>
            <w:r w:rsidRPr="000E2CEB">
              <w:rPr>
                <w:rFonts w:ascii="Times New Roman" w:eastAsia="Times New Roman" w:hAnsi="Times New Roman" w:cs="Times New Roman"/>
                <w:sz w:val="24"/>
                <w:szCs w:val="24"/>
              </w:rPr>
              <w:t xml:space="preserve"> </w:t>
            </w:r>
            <w:proofErr w:type="spellStart"/>
            <w:r w:rsidRPr="000E2CEB">
              <w:rPr>
                <w:rFonts w:ascii="Times New Roman" w:eastAsia="Times New Roman" w:hAnsi="Times New Roman" w:cs="Times New Roman"/>
                <w:sz w:val="24"/>
                <w:szCs w:val="24"/>
              </w:rPr>
              <w:t>оборот</w:t>
            </w:r>
            <w:proofErr w:type="spellEnd"/>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5 948,9</w:t>
            </w:r>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5 288,3</w:t>
            </w:r>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5 291,7</w:t>
            </w:r>
          </w:p>
        </w:tc>
      </w:tr>
      <w:tr w:rsidR="003F5D83" w:rsidRPr="00315592" w:rsidTr="002614CD">
        <w:trPr>
          <w:trHeight w:val="264"/>
        </w:trPr>
        <w:tc>
          <w:tcPr>
            <w:tcW w:w="0" w:type="auto"/>
            <w:hideMark/>
          </w:tcPr>
          <w:p w:rsidR="003F5D83" w:rsidRPr="000E2CEB" w:rsidRDefault="003F5D83" w:rsidP="003F5D83">
            <w:pPr>
              <w:spacing w:before="100" w:beforeAutospacing="1" w:after="100" w:afterAutospacing="1"/>
              <w:jc w:val="both"/>
              <w:rPr>
                <w:rFonts w:ascii="Times New Roman" w:eastAsia="Times New Roman" w:hAnsi="Times New Roman" w:cs="Times New Roman"/>
                <w:sz w:val="24"/>
                <w:szCs w:val="24"/>
              </w:rPr>
            </w:pPr>
            <w:proofErr w:type="spellStart"/>
            <w:r w:rsidRPr="000E2CEB">
              <w:rPr>
                <w:rFonts w:ascii="Times New Roman" w:eastAsia="Times New Roman" w:hAnsi="Times New Roman" w:cs="Times New Roman"/>
                <w:sz w:val="24"/>
                <w:szCs w:val="24"/>
              </w:rPr>
              <w:t>Сальдо</w:t>
            </w:r>
            <w:proofErr w:type="spellEnd"/>
            <w:r w:rsidRPr="000E2CEB">
              <w:rPr>
                <w:rFonts w:ascii="Times New Roman" w:eastAsia="Times New Roman" w:hAnsi="Times New Roman" w:cs="Times New Roman"/>
                <w:sz w:val="24"/>
                <w:szCs w:val="24"/>
              </w:rPr>
              <w:t xml:space="preserve"> (</w:t>
            </w:r>
            <w:proofErr w:type="spellStart"/>
            <w:r w:rsidRPr="000E2CEB">
              <w:rPr>
                <w:rFonts w:ascii="Times New Roman" w:eastAsia="Times New Roman" w:hAnsi="Times New Roman" w:cs="Times New Roman"/>
                <w:sz w:val="24"/>
                <w:szCs w:val="24"/>
              </w:rPr>
              <w:t>экспорт</w:t>
            </w:r>
            <w:proofErr w:type="spellEnd"/>
            <w:r w:rsidRPr="000E2CEB">
              <w:rPr>
                <w:rFonts w:ascii="Times New Roman" w:eastAsia="Times New Roman" w:hAnsi="Times New Roman" w:cs="Times New Roman"/>
                <w:sz w:val="24"/>
                <w:szCs w:val="24"/>
              </w:rPr>
              <w:t>–</w:t>
            </w:r>
            <w:proofErr w:type="spellStart"/>
            <w:r w:rsidRPr="000E2CEB">
              <w:rPr>
                <w:rFonts w:ascii="Times New Roman" w:eastAsia="Times New Roman" w:hAnsi="Times New Roman" w:cs="Times New Roman"/>
                <w:sz w:val="24"/>
                <w:szCs w:val="24"/>
              </w:rPr>
              <w:t>импорт</w:t>
            </w:r>
            <w:proofErr w:type="spellEnd"/>
            <w:r w:rsidRPr="000E2CEB">
              <w:rPr>
                <w:rFonts w:ascii="Times New Roman" w:eastAsia="Times New Roman" w:hAnsi="Times New Roman" w:cs="Times New Roman"/>
                <w:sz w:val="24"/>
                <w:szCs w:val="24"/>
              </w:rPr>
              <w:t>)</w:t>
            </w:r>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-117,1</w:t>
            </w:r>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+304,2</w:t>
            </w:r>
          </w:p>
        </w:tc>
        <w:tc>
          <w:tcPr>
            <w:tcW w:w="0" w:type="auto"/>
            <w:hideMark/>
          </w:tcPr>
          <w:p w:rsidR="003F5D83" w:rsidRPr="00315592" w:rsidRDefault="003F5D83" w:rsidP="003F5D83">
            <w:pPr>
              <w:spacing w:before="100" w:beforeAutospacing="1" w:after="100" w:afterAutospacing="1"/>
              <w:ind w:firstLine="567"/>
              <w:jc w:val="right"/>
              <w:rPr>
                <w:rFonts w:ascii="Times New Roman" w:eastAsia="Times New Roman" w:hAnsi="Times New Roman" w:cs="Times New Roman"/>
                <w:sz w:val="24"/>
                <w:szCs w:val="24"/>
              </w:rPr>
            </w:pPr>
            <w:r w:rsidRPr="00315592">
              <w:rPr>
                <w:rFonts w:ascii="Times New Roman" w:eastAsia="Times New Roman" w:hAnsi="Times New Roman" w:cs="Times New Roman"/>
                <w:sz w:val="24"/>
                <w:szCs w:val="24"/>
              </w:rPr>
              <w:t>-202,7</w:t>
            </w:r>
          </w:p>
        </w:tc>
      </w:tr>
    </w:tbl>
    <w:p w:rsidR="003F5D83" w:rsidRPr="0019675B" w:rsidRDefault="003F5D83" w:rsidP="003F5D83">
      <w:pPr>
        <w:spacing w:after="0" w:line="240" w:lineRule="auto"/>
        <w:ind w:right="-22"/>
        <w:jc w:val="both"/>
        <w:rPr>
          <w:rFonts w:ascii="Times New Roman" w:eastAsia="Times New Roman" w:hAnsi="Times New Roman" w:cs="Times New Roman"/>
          <w:i/>
          <w:iCs/>
          <w:color w:val="0563C1" w:themeColor="hyperlink"/>
          <w:sz w:val="16"/>
          <w:szCs w:val="16"/>
          <w:u w:val="single"/>
          <w:lang w:val="ru-RU"/>
        </w:rPr>
      </w:pPr>
      <w:r w:rsidRPr="0019675B">
        <w:rPr>
          <w:rFonts w:ascii="Times New Roman" w:eastAsia="Times New Roman" w:hAnsi="Times New Roman" w:cs="Times New Roman"/>
          <w:i/>
          <w:iCs/>
          <w:sz w:val="16"/>
          <w:szCs w:val="16"/>
          <w:lang w:val="ru-RU"/>
        </w:rPr>
        <w:t xml:space="preserve">Источник: Итоги социально-экономического развития Гагаузии за 2024 год // Главное управление экономического развития и туризма Гагаузии. – </w:t>
      </w:r>
      <w:r w:rsidRPr="0019675B">
        <w:rPr>
          <w:rFonts w:ascii="Times New Roman" w:eastAsia="Times New Roman" w:hAnsi="Times New Roman" w:cs="Times New Roman"/>
          <w:i/>
          <w:iCs/>
          <w:sz w:val="16"/>
          <w:szCs w:val="16"/>
        </w:rPr>
        <w:t>URL</w:t>
      </w:r>
      <w:r w:rsidRPr="0019675B">
        <w:rPr>
          <w:rFonts w:ascii="Times New Roman" w:eastAsia="Times New Roman" w:hAnsi="Times New Roman" w:cs="Times New Roman"/>
          <w:i/>
          <w:iCs/>
          <w:sz w:val="16"/>
          <w:szCs w:val="16"/>
          <w:lang w:val="ru-RU"/>
        </w:rPr>
        <w:t xml:space="preserve">: </w:t>
      </w:r>
      <w:hyperlink r:id="rId23" w:tgtFrame="_new" w:history="1">
        <w:proofErr w:type="spellStart"/>
        <w:r w:rsidRPr="0019675B">
          <w:rPr>
            <w:rFonts w:ascii="Times New Roman" w:eastAsia="Times New Roman" w:hAnsi="Times New Roman" w:cs="Times New Roman"/>
            <w:i/>
            <w:iCs/>
            <w:color w:val="0563C1" w:themeColor="hyperlink"/>
            <w:sz w:val="16"/>
            <w:szCs w:val="16"/>
            <w:u w:val="single"/>
          </w:rPr>
          <w:t>econutag</w:t>
        </w:r>
        <w:proofErr w:type="spellEnd"/>
        <w:r w:rsidRPr="0019675B">
          <w:rPr>
            <w:rFonts w:ascii="Times New Roman" w:eastAsia="Times New Roman" w:hAnsi="Times New Roman" w:cs="Times New Roman"/>
            <w:i/>
            <w:iCs/>
            <w:color w:val="0563C1" w:themeColor="hyperlink"/>
            <w:sz w:val="16"/>
            <w:szCs w:val="16"/>
            <w:u w:val="single"/>
            <w:lang w:val="ru-RU"/>
          </w:rPr>
          <w:t>.</w:t>
        </w:r>
        <w:r w:rsidRPr="0019675B">
          <w:rPr>
            <w:rFonts w:ascii="Times New Roman" w:eastAsia="Times New Roman" w:hAnsi="Times New Roman" w:cs="Times New Roman"/>
            <w:i/>
            <w:iCs/>
            <w:color w:val="0563C1" w:themeColor="hyperlink"/>
            <w:sz w:val="16"/>
            <w:szCs w:val="16"/>
            <w:u w:val="single"/>
          </w:rPr>
          <w:t>md</w:t>
        </w:r>
      </w:hyperlink>
    </w:p>
    <w:p w:rsidR="003F5D83" w:rsidRPr="00315592" w:rsidRDefault="003F5D83" w:rsidP="003F5D83">
      <w:pPr>
        <w:spacing w:after="0" w:line="240" w:lineRule="auto"/>
        <w:ind w:right="403"/>
        <w:jc w:val="both"/>
        <w:rPr>
          <w:rFonts w:ascii="Times New Roman" w:eastAsia="Times New Roman" w:hAnsi="Times New Roman" w:cs="Times New Roman"/>
          <w:i/>
          <w:iCs/>
          <w:sz w:val="20"/>
          <w:szCs w:val="20"/>
          <w:lang w:val="ru-RU"/>
        </w:rPr>
      </w:pPr>
    </w:p>
    <w:p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 xml:space="preserve">За период 2022 – 2024 </w:t>
      </w:r>
      <w:proofErr w:type="spellStart"/>
      <w:r w:rsidRPr="00315592">
        <w:rPr>
          <w:rFonts w:ascii="Times New Roman" w:eastAsia="Times New Roman" w:hAnsi="Times New Roman" w:cs="Times New Roman"/>
          <w:sz w:val="24"/>
          <w:szCs w:val="24"/>
          <w:lang w:val="ru-RU"/>
        </w:rPr>
        <w:t>гг</w:t>
      </w:r>
      <w:proofErr w:type="spellEnd"/>
      <w:r w:rsidR="006472C4">
        <w:rPr>
          <w:rFonts w:ascii="Times New Roman" w:eastAsia="Times New Roman" w:hAnsi="Times New Roman" w:cs="Times New Roman"/>
          <w:sz w:val="24"/>
          <w:szCs w:val="24"/>
          <w:lang w:val="ro-MD"/>
        </w:rPr>
        <w:t>.</w:t>
      </w:r>
      <w:r w:rsidRPr="00315592">
        <w:rPr>
          <w:rFonts w:ascii="Times New Roman" w:eastAsia="Times New Roman" w:hAnsi="Times New Roman" w:cs="Times New Roman"/>
          <w:sz w:val="24"/>
          <w:szCs w:val="24"/>
          <w:lang w:val="ru-RU"/>
        </w:rPr>
        <w:t xml:space="preserve"> в АТО Гагаузия экспорт сократился на 371,4 млн леев (–12,7%), тогда как в Республике Молдова в целом сокращение произошло на 777,1 млн долл. (–17,9%), что указывает на более умеренное снижение в регионе.</w:t>
      </w:r>
    </w:p>
    <w:p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Импорт в обоих случаях характеризуется менее устойчивой динамикой: в АТО Гагаузия он снизился в 2023 г. (–17,8%), но затем увеличился в 2024 г. (+10,2%), тогда как на уровне страны его сокращение за весь период было незначительным (–1,7%), что отражает сохраняющуюся высокую зависимость от внешних поставок.</w:t>
      </w:r>
    </w:p>
    <w:p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Ключевое различие проявляется в торговом балансе. Если для Республики Молдова характерно устойчиво</w:t>
      </w:r>
      <w:r>
        <w:rPr>
          <w:rFonts w:ascii="Times New Roman" w:eastAsia="Times New Roman" w:hAnsi="Times New Roman" w:cs="Times New Roman"/>
          <w:sz w:val="24"/>
          <w:szCs w:val="24"/>
          <w:lang w:val="ru-RU"/>
        </w:rPr>
        <w:t>е</w:t>
      </w:r>
      <w:r w:rsidRPr="00315592">
        <w:rPr>
          <w:rFonts w:ascii="Times New Roman" w:eastAsia="Times New Roman" w:hAnsi="Times New Roman" w:cs="Times New Roman"/>
          <w:sz w:val="24"/>
          <w:szCs w:val="24"/>
          <w:lang w:val="ru-RU"/>
        </w:rPr>
        <w:t xml:space="preserve"> отрицательное сальдо на протяжении всего периода (от –4,9 до –5,5 млрд долл.), то в АТО Гагаузия при значительно меньших объёмах внешней торговли наблюдается более сбалансированное соотношение экспорта и импорта: доля экспорта во внешнеторговом обороте колеблется в пределах 48–53%, что позволяет региону в отдельные годы формировать положительное сальдо (например, +304,2 млн леев в 2023 г.). </w:t>
      </w:r>
    </w:p>
    <w:p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 xml:space="preserve">В результате, </w:t>
      </w:r>
      <w:r>
        <w:rPr>
          <w:rFonts w:ascii="Times New Roman" w:eastAsia="Times New Roman" w:hAnsi="Times New Roman" w:cs="Times New Roman"/>
          <w:sz w:val="24"/>
          <w:szCs w:val="24"/>
          <w:lang w:val="ru-RU"/>
        </w:rPr>
        <w:t>даже с учётом</w:t>
      </w:r>
      <w:r w:rsidRPr="00315592">
        <w:rPr>
          <w:rFonts w:ascii="Times New Roman" w:eastAsia="Times New Roman" w:hAnsi="Times New Roman" w:cs="Times New Roman"/>
          <w:sz w:val="24"/>
          <w:szCs w:val="24"/>
          <w:lang w:val="ru-RU"/>
        </w:rPr>
        <w:t xml:space="preserve"> снижени</w:t>
      </w:r>
      <w:r>
        <w:rPr>
          <w:rFonts w:ascii="Times New Roman" w:eastAsia="Times New Roman" w:hAnsi="Times New Roman" w:cs="Times New Roman"/>
          <w:sz w:val="24"/>
          <w:szCs w:val="24"/>
          <w:lang w:val="ru-RU"/>
        </w:rPr>
        <w:t>я</w:t>
      </w:r>
      <w:r w:rsidRPr="00315592">
        <w:rPr>
          <w:rFonts w:ascii="Times New Roman" w:eastAsia="Times New Roman" w:hAnsi="Times New Roman" w:cs="Times New Roman"/>
          <w:sz w:val="24"/>
          <w:szCs w:val="24"/>
          <w:lang w:val="ru-RU"/>
        </w:rPr>
        <w:t xml:space="preserve"> внешнеторгового оборота (–11,0% в АТО Гагаузия), регион демонстрирует более устойчивую и сбалансированную модель внешней торговли по сравнению с национальным уровнем, где сохраняется выраженный структурный дефицит.</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Вместе с тем, несмотря на более сбалансированный характер внешней торговли, роль АТО Гагаузия в масштабах страны остаётся ограниченной (рис</w:t>
      </w:r>
      <w:r>
        <w:rPr>
          <w:rFonts w:ascii="Times New Roman" w:eastAsia="Times New Roman" w:hAnsi="Times New Roman" w:cs="Times New Roman"/>
          <w:sz w:val="24"/>
          <w:szCs w:val="24"/>
          <w:lang w:val="ru-RU"/>
        </w:rPr>
        <w:t>унок 2.6</w:t>
      </w:r>
      <w:r w:rsidRPr="00033913">
        <w:rPr>
          <w:rFonts w:ascii="Times New Roman" w:eastAsia="Times New Roman" w:hAnsi="Times New Roman" w:cs="Times New Roman"/>
          <w:sz w:val="24"/>
          <w:szCs w:val="24"/>
          <w:lang w:val="ru-RU"/>
        </w:rPr>
        <w:t>).</w:t>
      </w:r>
      <w:r w:rsidRPr="00315592">
        <w:rPr>
          <w:rFonts w:ascii="Times New Roman" w:eastAsia="Times New Roman" w:hAnsi="Times New Roman" w:cs="Times New Roman"/>
          <w:sz w:val="24"/>
          <w:szCs w:val="24"/>
          <w:lang w:val="ru-RU"/>
        </w:rPr>
        <w:t xml:space="preserve"> </w:t>
      </w:r>
    </w:p>
    <w:p w:rsidR="006472C4" w:rsidRPr="00315592" w:rsidRDefault="006472C4" w:rsidP="003F5D83">
      <w:pPr>
        <w:spacing w:after="0" w:line="240" w:lineRule="auto"/>
        <w:ind w:firstLine="709"/>
        <w:jc w:val="both"/>
        <w:rPr>
          <w:rFonts w:ascii="Times New Roman" w:eastAsia="Times New Roman" w:hAnsi="Times New Roman" w:cs="Times New Roman"/>
          <w:sz w:val="24"/>
          <w:szCs w:val="24"/>
          <w:lang w:val="ru-RU"/>
        </w:rPr>
      </w:pPr>
    </w:p>
    <w:p w:rsidR="003F5D83" w:rsidRPr="00315592" w:rsidRDefault="003F5D83" w:rsidP="003F5D83">
      <w:pPr>
        <w:spacing w:after="0" w:line="240" w:lineRule="auto"/>
        <w:jc w:val="both"/>
        <w:rPr>
          <w:rFonts w:ascii="Times New Roman" w:eastAsia="Times New Roman" w:hAnsi="Times New Roman" w:cs="Times New Roman"/>
          <w:b/>
          <w:bCs/>
          <w:i/>
          <w:iCs/>
          <w:sz w:val="24"/>
          <w:szCs w:val="24"/>
          <w:lang w:val="ru-RU"/>
        </w:rPr>
      </w:pPr>
      <w:r w:rsidRPr="00315592">
        <w:rPr>
          <w:rFonts w:ascii="Times New Roman" w:eastAsia="Times New Roman" w:hAnsi="Times New Roman" w:cs="Times New Roman"/>
          <w:noProof/>
          <w:sz w:val="24"/>
          <w:szCs w:val="24"/>
          <w:lang w:val="ru-RU" w:eastAsia="ru-RU"/>
        </w:rPr>
        <w:drawing>
          <wp:inline distT="0" distB="0" distL="0" distR="0" wp14:anchorId="0A535017" wp14:editId="39342B0B">
            <wp:extent cx="5800725" cy="3076575"/>
            <wp:effectExtent l="0" t="0" r="9525" b="9525"/>
            <wp:docPr id="166918228" name="Диаграмма 1">
              <a:extLst xmlns:a="http://schemas.openxmlformats.org/drawingml/2006/main">
                <a:ext uri="{FF2B5EF4-FFF2-40B4-BE49-F238E27FC236}">
                  <a16:creationId xmlns:a16="http://schemas.microsoft.com/office/drawing/2014/main" id="{9B5AB2B0-E6E0-6C55-9D4B-12C51E8FDE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унок 2.6.</w:t>
      </w:r>
      <w:r w:rsidRPr="00315592">
        <w:rPr>
          <w:rFonts w:ascii="Times New Roman" w:eastAsia="Times New Roman" w:hAnsi="Times New Roman" w:cs="Times New Roman"/>
          <w:b/>
          <w:bCs/>
          <w:sz w:val="24"/>
          <w:szCs w:val="24"/>
          <w:lang w:val="ru-RU"/>
        </w:rPr>
        <w:t xml:space="preserve"> Доля РР АТО Гагаузия во внешней торговле Республики Молдова </w:t>
      </w:r>
    </w:p>
    <w:p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 xml:space="preserve">за 2022-2024 </w:t>
      </w:r>
      <w:proofErr w:type="spellStart"/>
      <w:r w:rsidRPr="00315592">
        <w:rPr>
          <w:rFonts w:ascii="Times New Roman" w:eastAsia="Times New Roman" w:hAnsi="Times New Roman" w:cs="Times New Roman"/>
          <w:b/>
          <w:bCs/>
          <w:sz w:val="24"/>
          <w:szCs w:val="24"/>
          <w:lang w:val="ru-RU"/>
        </w:rPr>
        <w:t>гг</w:t>
      </w:r>
      <w:proofErr w:type="spellEnd"/>
      <w:r w:rsidRPr="00315592">
        <w:rPr>
          <w:rFonts w:ascii="Times New Roman" w:eastAsia="Times New Roman" w:hAnsi="Times New Roman" w:cs="Times New Roman"/>
          <w:b/>
          <w:bCs/>
          <w:sz w:val="24"/>
          <w:szCs w:val="24"/>
          <w:lang w:val="ru-RU"/>
        </w:rPr>
        <w:t>,%</w:t>
      </w:r>
    </w:p>
    <w:p w:rsidR="003F5D83" w:rsidRPr="0095238A" w:rsidRDefault="003F5D83" w:rsidP="003F5D83">
      <w:pPr>
        <w:spacing w:after="0" w:line="240" w:lineRule="auto"/>
        <w:ind w:right="-22"/>
        <w:jc w:val="both"/>
        <w:rPr>
          <w:rFonts w:ascii="Times New Roman" w:eastAsia="Times New Roman" w:hAnsi="Times New Roman" w:cs="Times New Roman"/>
          <w:i/>
          <w:iCs/>
          <w:sz w:val="16"/>
          <w:szCs w:val="16"/>
        </w:rPr>
      </w:pPr>
      <w:r w:rsidRPr="0095238A">
        <w:rPr>
          <w:rFonts w:ascii="Times New Roman" w:eastAsia="Times New Roman" w:hAnsi="Times New Roman" w:cs="Times New Roman"/>
          <w:i/>
          <w:iCs/>
          <w:sz w:val="16"/>
          <w:szCs w:val="16"/>
          <w:lang w:val="ru-RU"/>
        </w:rPr>
        <w:t xml:space="preserve">Источник: рассчитано АРР на основе данных таблицы 9 и данных </w:t>
      </w:r>
      <w:proofErr w:type="spellStart"/>
      <w:r w:rsidRPr="0095238A">
        <w:rPr>
          <w:rFonts w:ascii="Times New Roman" w:eastAsia="Times New Roman" w:hAnsi="Times New Roman" w:cs="Times New Roman"/>
          <w:i/>
          <w:iCs/>
          <w:sz w:val="16"/>
          <w:szCs w:val="16"/>
        </w:rPr>
        <w:t>Biroul</w:t>
      </w:r>
      <w:proofErr w:type="spellEnd"/>
      <w:r w:rsidRPr="0095238A">
        <w:rPr>
          <w:rFonts w:ascii="Times New Roman" w:eastAsia="Times New Roman" w:hAnsi="Times New Roman" w:cs="Times New Roman"/>
          <w:i/>
          <w:iCs/>
          <w:sz w:val="16"/>
          <w:szCs w:val="16"/>
          <w:lang w:val="ru-RU"/>
        </w:rPr>
        <w:t xml:space="preserve"> </w:t>
      </w:r>
      <w:r w:rsidRPr="0095238A">
        <w:rPr>
          <w:rFonts w:ascii="Times New Roman" w:eastAsia="Times New Roman" w:hAnsi="Times New Roman" w:cs="Times New Roman"/>
          <w:i/>
          <w:iCs/>
          <w:sz w:val="16"/>
          <w:szCs w:val="16"/>
        </w:rPr>
        <w:t>Na</w:t>
      </w:r>
      <w:r w:rsidRPr="0095238A">
        <w:rPr>
          <w:rFonts w:ascii="Times New Roman" w:eastAsia="Times New Roman" w:hAnsi="Times New Roman" w:cs="Times New Roman"/>
          <w:i/>
          <w:iCs/>
          <w:sz w:val="16"/>
          <w:szCs w:val="16"/>
          <w:lang w:val="ru-RU"/>
        </w:rPr>
        <w:t>ț</w:t>
      </w:r>
      <w:proofErr w:type="spellStart"/>
      <w:r w:rsidRPr="0095238A">
        <w:rPr>
          <w:rFonts w:ascii="Times New Roman" w:eastAsia="Times New Roman" w:hAnsi="Times New Roman" w:cs="Times New Roman"/>
          <w:i/>
          <w:iCs/>
          <w:sz w:val="16"/>
          <w:szCs w:val="16"/>
        </w:rPr>
        <w:t>ional</w:t>
      </w:r>
      <w:proofErr w:type="spellEnd"/>
      <w:r w:rsidRPr="0095238A">
        <w:rPr>
          <w:rFonts w:ascii="Times New Roman" w:eastAsia="Times New Roman" w:hAnsi="Times New Roman" w:cs="Times New Roman"/>
          <w:i/>
          <w:iCs/>
          <w:sz w:val="16"/>
          <w:szCs w:val="16"/>
          <w:lang w:val="ru-RU"/>
        </w:rPr>
        <w:t xml:space="preserve"> </w:t>
      </w:r>
      <w:r w:rsidRPr="0095238A">
        <w:rPr>
          <w:rFonts w:ascii="Times New Roman" w:eastAsia="Times New Roman" w:hAnsi="Times New Roman" w:cs="Times New Roman"/>
          <w:i/>
          <w:iCs/>
          <w:sz w:val="16"/>
          <w:szCs w:val="16"/>
        </w:rPr>
        <w:t>de</w:t>
      </w:r>
      <w:r w:rsidRPr="0095238A">
        <w:rPr>
          <w:rFonts w:ascii="Times New Roman" w:eastAsia="Times New Roman" w:hAnsi="Times New Roman" w:cs="Times New Roman"/>
          <w:i/>
          <w:iCs/>
          <w:sz w:val="16"/>
          <w:szCs w:val="16"/>
          <w:lang w:val="ru-RU"/>
        </w:rPr>
        <w:t xml:space="preserve"> </w:t>
      </w:r>
      <w:r w:rsidRPr="0095238A">
        <w:rPr>
          <w:rFonts w:ascii="Times New Roman" w:eastAsia="Times New Roman" w:hAnsi="Times New Roman" w:cs="Times New Roman"/>
          <w:i/>
          <w:iCs/>
          <w:sz w:val="16"/>
          <w:szCs w:val="16"/>
        </w:rPr>
        <w:t>Statistic</w:t>
      </w:r>
      <w:r w:rsidRPr="0095238A">
        <w:rPr>
          <w:rFonts w:ascii="Times New Roman" w:eastAsia="Times New Roman" w:hAnsi="Times New Roman" w:cs="Times New Roman"/>
          <w:i/>
          <w:iCs/>
          <w:sz w:val="16"/>
          <w:szCs w:val="16"/>
          <w:lang w:val="ru-RU"/>
        </w:rPr>
        <w:t xml:space="preserve">ă. </w:t>
      </w:r>
      <w:proofErr w:type="spellStart"/>
      <w:r w:rsidRPr="0095238A">
        <w:rPr>
          <w:rFonts w:ascii="Times New Roman" w:eastAsia="Times New Roman" w:hAnsi="Times New Roman" w:cs="Times New Roman"/>
          <w:i/>
          <w:iCs/>
          <w:sz w:val="16"/>
          <w:szCs w:val="16"/>
        </w:rPr>
        <w:t>Comerțul</w:t>
      </w:r>
      <w:proofErr w:type="spellEnd"/>
      <w:r w:rsidRPr="0095238A">
        <w:rPr>
          <w:rFonts w:ascii="Times New Roman" w:eastAsia="Times New Roman" w:hAnsi="Times New Roman" w:cs="Times New Roman"/>
          <w:i/>
          <w:iCs/>
          <w:sz w:val="16"/>
          <w:szCs w:val="16"/>
        </w:rPr>
        <w:t xml:space="preserve"> exterior al </w:t>
      </w:r>
      <w:proofErr w:type="spellStart"/>
      <w:r w:rsidRPr="0095238A">
        <w:rPr>
          <w:rFonts w:ascii="Times New Roman" w:eastAsia="Times New Roman" w:hAnsi="Times New Roman" w:cs="Times New Roman"/>
          <w:i/>
          <w:iCs/>
          <w:sz w:val="16"/>
          <w:szCs w:val="16"/>
        </w:rPr>
        <w:t>Republicii</w:t>
      </w:r>
      <w:proofErr w:type="spellEnd"/>
      <w:r w:rsidRPr="0095238A">
        <w:rPr>
          <w:rFonts w:ascii="Times New Roman" w:eastAsia="Times New Roman" w:hAnsi="Times New Roman" w:cs="Times New Roman"/>
          <w:i/>
          <w:iCs/>
          <w:sz w:val="16"/>
          <w:szCs w:val="16"/>
        </w:rPr>
        <w:t xml:space="preserve"> Moldova, </w:t>
      </w:r>
      <w:proofErr w:type="spellStart"/>
      <w:r w:rsidRPr="0095238A">
        <w:rPr>
          <w:rFonts w:ascii="Times New Roman" w:eastAsia="Times New Roman" w:hAnsi="Times New Roman" w:cs="Times New Roman"/>
          <w:i/>
          <w:iCs/>
          <w:sz w:val="16"/>
          <w:szCs w:val="16"/>
        </w:rPr>
        <w:t>structurat</w:t>
      </w:r>
      <w:proofErr w:type="spellEnd"/>
      <w:r w:rsidRPr="0095238A">
        <w:rPr>
          <w:rFonts w:ascii="Times New Roman" w:eastAsia="Times New Roman" w:hAnsi="Times New Roman" w:cs="Times New Roman"/>
          <w:i/>
          <w:iCs/>
          <w:sz w:val="16"/>
          <w:szCs w:val="16"/>
        </w:rPr>
        <w:t xml:space="preserve"> pe </w:t>
      </w:r>
      <w:proofErr w:type="spellStart"/>
      <w:r w:rsidRPr="0095238A">
        <w:rPr>
          <w:rFonts w:ascii="Times New Roman" w:eastAsia="Times New Roman" w:hAnsi="Times New Roman" w:cs="Times New Roman"/>
          <w:i/>
          <w:iCs/>
          <w:sz w:val="16"/>
          <w:szCs w:val="16"/>
        </w:rPr>
        <w:t>grupe</w:t>
      </w:r>
      <w:proofErr w:type="spellEnd"/>
      <w:r w:rsidRPr="0095238A">
        <w:rPr>
          <w:rFonts w:ascii="Times New Roman" w:eastAsia="Times New Roman" w:hAnsi="Times New Roman" w:cs="Times New Roman"/>
          <w:i/>
          <w:iCs/>
          <w:sz w:val="16"/>
          <w:szCs w:val="16"/>
        </w:rPr>
        <w:t xml:space="preserve"> de </w:t>
      </w:r>
      <w:proofErr w:type="spellStart"/>
      <w:r w:rsidRPr="0095238A">
        <w:rPr>
          <w:rFonts w:ascii="Times New Roman" w:eastAsia="Times New Roman" w:hAnsi="Times New Roman" w:cs="Times New Roman"/>
          <w:i/>
          <w:iCs/>
          <w:sz w:val="16"/>
          <w:szCs w:val="16"/>
        </w:rPr>
        <w:t>țări</w:t>
      </w:r>
      <w:proofErr w:type="spellEnd"/>
      <w:r w:rsidRPr="0095238A">
        <w:rPr>
          <w:rFonts w:ascii="Times New Roman" w:eastAsia="Times New Roman" w:hAnsi="Times New Roman" w:cs="Times New Roman"/>
          <w:i/>
          <w:iCs/>
          <w:sz w:val="16"/>
          <w:szCs w:val="16"/>
        </w:rPr>
        <w:t>, 1997–2024 (</w:t>
      </w:r>
      <w:proofErr w:type="spellStart"/>
      <w:r w:rsidRPr="0095238A">
        <w:rPr>
          <w:rFonts w:ascii="Times New Roman" w:eastAsia="Times New Roman" w:hAnsi="Times New Roman" w:cs="Times New Roman"/>
          <w:i/>
          <w:iCs/>
          <w:sz w:val="16"/>
          <w:szCs w:val="16"/>
        </w:rPr>
        <w:t>serii</w:t>
      </w:r>
      <w:proofErr w:type="spellEnd"/>
      <w:r w:rsidRPr="0095238A">
        <w:rPr>
          <w:rFonts w:ascii="Times New Roman" w:eastAsia="Times New Roman" w:hAnsi="Times New Roman" w:cs="Times New Roman"/>
          <w:i/>
          <w:iCs/>
          <w:sz w:val="16"/>
          <w:szCs w:val="16"/>
        </w:rPr>
        <w:t xml:space="preserve"> </w:t>
      </w:r>
      <w:proofErr w:type="spellStart"/>
      <w:r w:rsidRPr="0095238A">
        <w:rPr>
          <w:rFonts w:ascii="Times New Roman" w:eastAsia="Times New Roman" w:hAnsi="Times New Roman" w:cs="Times New Roman"/>
          <w:i/>
          <w:iCs/>
          <w:sz w:val="16"/>
          <w:szCs w:val="16"/>
        </w:rPr>
        <w:t>anuale</w:t>
      </w:r>
      <w:proofErr w:type="spellEnd"/>
      <w:r w:rsidRPr="0095238A">
        <w:rPr>
          <w:rFonts w:ascii="Times New Roman" w:eastAsia="Times New Roman" w:hAnsi="Times New Roman" w:cs="Times New Roman"/>
          <w:i/>
          <w:iCs/>
          <w:sz w:val="16"/>
          <w:szCs w:val="16"/>
        </w:rPr>
        <w:t>) [</w:t>
      </w:r>
      <w:proofErr w:type="spellStart"/>
      <w:r w:rsidRPr="0095238A">
        <w:rPr>
          <w:rFonts w:ascii="Times New Roman" w:eastAsia="Times New Roman" w:hAnsi="Times New Roman" w:cs="Times New Roman"/>
          <w:i/>
          <w:iCs/>
          <w:sz w:val="16"/>
          <w:szCs w:val="16"/>
        </w:rPr>
        <w:t>resursă</w:t>
      </w:r>
      <w:proofErr w:type="spellEnd"/>
      <w:r w:rsidRPr="0095238A">
        <w:rPr>
          <w:rFonts w:ascii="Times New Roman" w:eastAsia="Times New Roman" w:hAnsi="Times New Roman" w:cs="Times New Roman"/>
          <w:i/>
          <w:iCs/>
          <w:sz w:val="16"/>
          <w:szCs w:val="16"/>
        </w:rPr>
        <w:t xml:space="preserve"> </w:t>
      </w:r>
      <w:proofErr w:type="spellStart"/>
      <w:r w:rsidRPr="0095238A">
        <w:rPr>
          <w:rFonts w:ascii="Times New Roman" w:eastAsia="Times New Roman" w:hAnsi="Times New Roman" w:cs="Times New Roman"/>
          <w:i/>
          <w:iCs/>
          <w:sz w:val="16"/>
          <w:szCs w:val="16"/>
        </w:rPr>
        <w:t>electronică</w:t>
      </w:r>
      <w:proofErr w:type="spellEnd"/>
      <w:r w:rsidRPr="0095238A">
        <w:rPr>
          <w:rFonts w:ascii="Times New Roman" w:eastAsia="Times New Roman" w:hAnsi="Times New Roman" w:cs="Times New Roman"/>
          <w:i/>
          <w:iCs/>
          <w:sz w:val="16"/>
          <w:szCs w:val="16"/>
        </w:rPr>
        <w:t xml:space="preserve">]. – </w:t>
      </w:r>
      <w:proofErr w:type="spellStart"/>
      <w:r w:rsidRPr="0095238A">
        <w:rPr>
          <w:rFonts w:ascii="Times New Roman" w:eastAsia="Times New Roman" w:hAnsi="Times New Roman" w:cs="Times New Roman"/>
          <w:i/>
          <w:iCs/>
          <w:sz w:val="16"/>
          <w:szCs w:val="16"/>
        </w:rPr>
        <w:t>Disponibil</w:t>
      </w:r>
      <w:proofErr w:type="spellEnd"/>
      <w:r w:rsidRPr="0095238A">
        <w:rPr>
          <w:rFonts w:ascii="Times New Roman" w:eastAsia="Times New Roman" w:hAnsi="Times New Roman" w:cs="Times New Roman"/>
          <w:i/>
          <w:iCs/>
          <w:sz w:val="16"/>
          <w:szCs w:val="16"/>
        </w:rPr>
        <w:t xml:space="preserve">: </w:t>
      </w:r>
      <w:proofErr w:type="spellStart"/>
      <w:r w:rsidRPr="0095238A">
        <w:rPr>
          <w:rFonts w:ascii="Times New Roman" w:eastAsia="Times New Roman" w:hAnsi="Times New Roman" w:cs="Times New Roman"/>
          <w:i/>
          <w:iCs/>
          <w:sz w:val="16"/>
          <w:szCs w:val="16"/>
        </w:rPr>
        <w:t>StatBank</w:t>
      </w:r>
      <w:proofErr w:type="spellEnd"/>
      <w:r w:rsidRPr="0095238A">
        <w:rPr>
          <w:rFonts w:ascii="Times New Roman" w:eastAsia="Times New Roman" w:hAnsi="Times New Roman" w:cs="Times New Roman"/>
          <w:i/>
          <w:iCs/>
          <w:sz w:val="16"/>
          <w:szCs w:val="16"/>
        </w:rPr>
        <w:t xml:space="preserve"> Moldova:</w:t>
      </w:r>
    </w:p>
    <w:p w:rsidR="003F5D83" w:rsidRDefault="00835535" w:rsidP="003F5D83">
      <w:pPr>
        <w:spacing w:after="0" w:line="240" w:lineRule="auto"/>
        <w:ind w:right="-22"/>
        <w:jc w:val="both"/>
        <w:rPr>
          <w:rFonts w:ascii="Times New Roman" w:eastAsia="Times New Roman" w:hAnsi="Times New Roman" w:cs="Times New Roman"/>
          <w:i/>
          <w:iCs/>
          <w:color w:val="0563C1" w:themeColor="hyperlink"/>
          <w:sz w:val="16"/>
          <w:szCs w:val="16"/>
          <w:u w:val="single"/>
        </w:rPr>
      </w:pPr>
      <w:hyperlink r:id="rId25" w:tgtFrame="_new" w:history="1">
        <w:r w:rsidR="003F5D83" w:rsidRPr="0095238A">
          <w:rPr>
            <w:rFonts w:ascii="Times New Roman" w:eastAsia="Times New Roman" w:hAnsi="Times New Roman" w:cs="Times New Roman"/>
            <w:i/>
            <w:iCs/>
            <w:color w:val="0563C1" w:themeColor="hyperlink"/>
            <w:sz w:val="16"/>
            <w:szCs w:val="16"/>
            <w:u w:val="single"/>
          </w:rPr>
          <w:t>https://statbank.statistica.md/PxWeb/pxweb/ro/40%20Statistica%20economica/40%20Statistica%20economica__21%20EXT__EXT010__serii%20anuale/EXT010100.px/table/tableViewLayout2/?rxid=2345d98a-890b-4459-bb1f-9b565f99b3b9</w:t>
        </w:r>
      </w:hyperlink>
    </w:p>
    <w:p w:rsidR="006472C4" w:rsidRPr="00955BDD" w:rsidRDefault="006472C4" w:rsidP="003F5D83">
      <w:pPr>
        <w:spacing w:after="0" w:line="240" w:lineRule="auto"/>
        <w:ind w:right="-22"/>
        <w:jc w:val="both"/>
        <w:rPr>
          <w:rFonts w:ascii="Times New Roman" w:eastAsia="Times New Roman" w:hAnsi="Times New Roman" w:cs="Times New Roman"/>
          <w:i/>
          <w:iCs/>
          <w:sz w:val="16"/>
          <w:szCs w:val="16"/>
        </w:rPr>
      </w:pPr>
    </w:p>
    <w:p w:rsidR="003F5D83" w:rsidRPr="00F03094" w:rsidRDefault="003F5D83" w:rsidP="003F5D83">
      <w:pPr>
        <w:spacing w:after="0" w:line="240" w:lineRule="auto"/>
        <w:ind w:right="-22" w:firstLine="720"/>
        <w:jc w:val="both"/>
        <w:rPr>
          <w:rFonts w:ascii="Times New Roman" w:eastAsia="Times New Roman" w:hAnsi="Times New Roman" w:cs="Times New Roman"/>
          <w:i/>
          <w:iCs/>
          <w:sz w:val="16"/>
          <w:szCs w:val="16"/>
          <w:lang w:val="ru-RU"/>
        </w:rPr>
      </w:pPr>
      <w:r w:rsidRPr="00315592">
        <w:rPr>
          <w:rFonts w:ascii="Times New Roman" w:eastAsia="Times New Roman" w:hAnsi="Times New Roman" w:cs="Times New Roman"/>
          <w:sz w:val="24"/>
          <w:szCs w:val="24"/>
          <w:lang w:val="ru-RU"/>
        </w:rPr>
        <w:t>В среднем за 2022–2024 гг. на регион приходится около 3,7% экспорта и лишь порядка 1,7% импорта Республики Молдова, что свидетельствует о его сравнительно низком вкладе в общенациональные внешнеэкономические показатели. При этом более высокая доля в экспорте по сравнению с импортом указывает на выраженную экспортную направленность региона. Такая структура внешней торговли в сочетании с ранее выявленным низким уровнем занятости позволяет предположить, что в АТО Гагаузия преобладают предприятия с ограниченной численностью персонала, ориентированные на внешние рынки, но не обеспечивающие значительного расширения занятости.</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p>
    <w:p w:rsidR="003F5D83" w:rsidRDefault="003F5D83" w:rsidP="003F5D83">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i/>
          <w:iCs/>
          <w:color w:val="000000"/>
          <w:sz w:val="24"/>
          <w:szCs w:val="24"/>
          <w:lang w:val="ru-RU"/>
        </w:rPr>
        <w:t>Трудовые ресурсы региона</w:t>
      </w:r>
      <w:r>
        <w:rPr>
          <w:rFonts w:ascii="Times New Roman" w:eastAsia="Times New Roman" w:hAnsi="Times New Roman" w:cs="Times New Roman"/>
          <w:color w:val="000000"/>
          <w:sz w:val="24"/>
          <w:szCs w:val="24"/>
          <w:lang w:val="ru-RU"/>
        </w:rPr>
        <w:t>.</w:t>
      </w:r>
    </w:p>
    <w:p w:rsidR="003F5D83" w:rsidRPr="001526C1" w:rsidRDefault="003F5D83" w:rsidP="003F5D83">
      <w:pPr>
        <w:spacing w:after="0" w:line="240" w:lineRule="auto"/>
        <w:ind w:firstLine="709"/>
        <w:jc w:val="both"/>
        <w:rPr>
          <w:rFonts w:ascii="Times New Roman" w:eastAsia="Times New Roman" w:hAnsi="Times New Roman" w:cs="Times New Roman"/>
          <w:sz w:val="24"/>
          <w:szCs w:val="24"/>
          <w:lang w:val="ru-RU"/>
        </w:rPr>
      </w:pPr>
      <w:r w:rsidRPr="001526C1">
        <w:rPr>
          <w:rFonts w:ascii="Times New Roman" w:eastAsia="Times New Roman" w:hAnsi="Times New Roman" w:cs="Times New Roman"/>
          <w:sz w:val="24"/>
          <w:szCs w:val="24"/>
          <w:lang w:val="ru-RU"/>
        </w:rPr>
        <w:t>Трудовые ресурсы региона являются важнейшим фактором социально-экономического развития, отражающим потенциал занятости и обеспеченность экономики рабочей силой.</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w:t>
      </w:r>
      <w:r w:rsidRPr="001526C1">
        <w:rPr>
          <w:rFonts w:ascii="Times New Roman" w:eastAsia="Times New Roman" w:hAnsi="Times New Roman" w:cs="Times New Roman"/>
          <w:sz w:val="24"/>
          <w:szCs w:val="24"/>
          <w:lang w:val="ru-RU"/>
        </w:rPr>
        <w:t>а рисунк</w:t>
      </w:r>
      <w:r>
        <w:rPr>
          <w:rFonts w:ascii="Times New Roman" w:eastAsia="Times New Roman" w:hAnsi="Times New Roman" w:cs="Times New Roman"/>
          <w:sz w:val="24"/>
          <w:szCs w:val="24"/>
          <w:lang w:val="ru-RU"/>
        </w:rPr>
        <w:t xml:space="preserve">е 2.7. </w:t>
      </w:r>
      <w:r w:rsidRPr="001526C1">
        <w:rPr>
          <w:rFonts w:ascii="Times New Roman" w:eastAsia="Times New Roman" w:hAnsi="Times New Roman" w:cs="Times New Roman"/>
          <w:sz w:val="24"/>
          <w:szCs w:val="24"/>
          <w:lang w:val="ru-RU"/>
        </w:rPr>
        <w:t xml:space="preserve">представлен анализ динамики численности работников </w:t>
      </w:r>
      <w:r>
        <w:rPr>
          <w:rFonts w:ascii="Times New Roman" w:eastAsia="Times New Roman" w:hAnsi="Times New Roman" w:cs="Times New Roman"/>
          <w:sz w:val="24"/>
          <w:szCs w:val="24"/>
          <w:lang w:val="ru-RU"/>
        </w:rPr>
        <w:t xml:space="preserve">по регионам развития Республики Молдова. </w:t>
      </w:r>
    </w:p>
    <w:p w:rsidR="001F0E6B" w:rsidRPr="00315592" w:rsidRDefault="001F0E6B" w:rsidP="003F5D83">
      <w:pPr>
        <w:spacing w:after="0" w:line="240" w:lineRule="auto"/>
        <w:ind w:firstLine="709"/>
        <w:jc w:val="both"/>
        <w:rPr>
          <w:rFonts w:ascii="Times New Roman" w:eastAsia="Times New Roman" w:hAnsi="Times New Roman" w:cs="Times New Roman"/>
          <w:sz w:val="24"/>
          <w:szCs w:val="24"/>
          <w:lang w:val="ru-RU"/>
        </w:rPr>
      </w:pPr>
    </w:p>
    <w:p w:rsidR="003F5D83" w:rsidRPr="00315592" w:rsidRDefault="003F5D83" w:rsidP="003F5D83">
      <w:pPr>
        <w:spacing w:after="0" w:line="240" w:lineRule="auto"/>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noProof/>
          <w:sz w:val="24"/>
          <w:szCs w:val="24"/>
          <w:lang w:val="ru-RU" w:eastAsia="ru-RU"/>
        </w:rPr>
        <w:drawing>
          <wp:inline distT="0" distB="0" distL="0" distR="0" wp14:anchorId="216410AD" wp14:editId="16E081DC">
            <wp:extent cx="5857875" cy="3086100"/>
            <wp:effectExtent l="0" t="0" r="9525" b="0"/>
            <wp:docPr id="395095046" name="Диаграмма 1">
              <a:extLst xmlns:a="http://schemas.openxmlformats.org/drawingml/2006/main">
                <a:ext uri="{FF2B5EF4-FFF2-40B4-BE49-F238E27FC236}">
                  <a16:creationId xmlns:a16="http://schemas.microsoft.com/office/drawing/2014/main" id="{8427C304-6E84-D004-7AA8-D5CA0752F0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F5D83" w:rsidRPr="00315592" w:rsidRDefault="003F5D83" w:rsidP="003F5D83">
      <w:pPr>
        <w:spacing w:after="0" w:line="240" w:lineRule="auto"/>
        <w:jc w:val="center"/>
        <w:rPr>
          <w:rFonts w:ascii="Times New Roman" w:eastAsia="Times New Roman" w:hAnsi="Times New Roman" w:cs="Times New Roman"/>
          <w:b/>
          <w:bCs/>
          <w:sz w:val="24"/>
          <w:szCs w:val="24"/>
          <w:lang w:val="ru-RU"/>
        </w:rPr>
      </w:pPr>
      <w:r w:rsidRPr="00315592">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унок 2.7.</w:t>
      </w:r>
      <w:r w:rsidRPr="00315592">
        <w:rPr>
          <w:rFonts w:ascii="Times New Roman" w:eastAsia="Times New Roman" w:hAnsi="Times New Roman" w:cs="Times New Roman"/>
          <w:b/>
          <w:bCs/>
          <w:sz w:val="24"/>
          <w:szCs w:val="24"/>
          <w:lang w:val="ru-RU"/>
        </w:rPr>
        <w:t xml:space="preserve"> Динамика численности работников на предприятиях по регионам развития Республики Молдова, 20</w:t>
      </w:r>
      <w:r>
        <w:rPr>
          <w:rFonts w:ascii="Times New Roman" w:eastAsia="Times New Roman" w:hAnsi="Times New Roman" w:cs="Times New Roman"/>
          <w:b/>
          <w:bCs/>
          <w:sz w:val="24"/>
          <w:szCs w:val="24"/>
          <w:lang w:val="ru-RU"/>
        </w:rPr>
        <w:t>20</w:t>
      </w:r>
      <w:r w:rsidRPr="00315592">
        <w:rPr>
          <w:rFonts w:ascii="Times New Roman" w:eastAsia="Times New Roman" w:hAnsi="Times New Roman" w:cs="Times New Roman"/>
          <w:b/>
          <w:bCs/>
          <w:sz w:val="24"/>
          <w:szCs w:val="24"/>
          <w:lang w:val="ru-RU"/>
        </w:rPr>
        <w:t>–2024 гг., тыс. человек</w:t>
      </w:r>
    </w:p>
    <w:p w:rsidR="003F5D83" w:rsidRPr="00F03094" w:rsidRDefault="003F5D83" w:rsidP="003F5D83">
      <w:pPr>
        <w:spacing w:after="0" w:line="240" w:lineRule="auto"/>
        <w:ind w:right="-22"/>
        <w:jc w:val="both"/>
        <w:rPr>
          <w:rFonts w:ascii="Times New Roman" w:eastAsia="Times New Roman" w:hAnsi="Times New Roman" w:cs="Times New Roman"/>
          <w:i/>
          <w:iCs/>
          <w:color w:val="0563C1" w:themeColor="hyperlink"/>
          <w:sz w:val="16"/>
          <w:szCs w:val="16"/>
          <w:u w:val="single"/>
        </w:rPr>
      </w:pPr>
      <w:proofErr w:type="spellStart"/>
      <w:r w:rsidRPr="000B220C">
        <w:rPr>
          <w:rFonts w:ascii="Times New Roman" w:eastAsia="Times New Roman" w:hAnsi="Times New Roman" w:cs="Times New Roman"/>
          <w:i/>
          <w:iCs/>
          <w:sz w:val="16"/>
          <w:szCs w:val="16"/>
        </w:rPr>
        <w:t>Источник</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Biroul</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Național</w:t>
      </w:r>
      <w:proofErr w:type="spellEnd"/>
      <w:r w:rsidRPr="000B220C">
        <w:rPr>
          <w:rFonts w:ascii="Times New Roman" w:eastAsia="Times New Roman" w:hAnsi="Times New Roman" w:cs="Times New Roman"/>
          <w:i/>
          <w:iCs/>
          <w:sz w:val="16"/>
          <w:szCs w:val="16"/>
        </w:rPr>
        <w:t xml:space="preserve"> de </w:t>
      </w:r>
      <w:proofErr w:type="spellStart"/>
      <w:r w:rsidRPr="000B220C">
        <w:rPr>
          <w:rFonts w:ascii="Times New Roman" w:eastAsia="Times New Roman" w:hAnsi="Times New Roman" w:cs="Times New Roman"/>
          <w:i/>
          <w:iCs/>
          <w:sz w:val="16"/>
          <w:szCs w:val="16"/>
        </w:rPr>
        <w:t>Statistică</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Activitatea</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întreprinderilor</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în</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profil</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teritorial</w:t>
      </w:r>
      <w:proofErr w:type="spellEnd"/>
      <w:r w:rsidRPr="000B220C">
        <w:rPr>
          <w:rFonts w:ascii="Times New Roman" w:eastAsia="Times New Roman" w:hAnsi="Times New Roman" w:cs="Times New Roman"/>
          <w:i/>
          <w:iCs/>
          <w:sz w:val="16"/>
          <w:szCs w:val="16"/>
        </w:rPr>
        <w:t>, 2020–2024 [</w:t>
      </w:r>
      <w:proofErr w:type="spellStart"/>
      <w:r w:rsidRPr="000B220C">
        <w:rPr>
          <w:rFonts w:ascii="Times New Roman" w:eastAsia="Times New Roman" w:hAnsi="Times New Roman" w:cs="Times New Roman"/>
          <w:i/>
          <w:iCs/>
          <w:sz w:val="16"/>
          <w:szCs w:val="16"/>
        </w:rPr>
        <w:t>resursă</w:t>
      </w:r>
      <w:proofErr w:type="spellEnd"/>
      <w:r w:rsidRPr="000B220C">
        <w:rPr>
          <w:rFonts w:ascii="Times New Roman" w:eastAsia="Times New Roman" w:hAnsi="Times New Roman" w:cs="Times New Roman"/>
          <w:i/>
          <w:iCs/>
          <w:sz w:val="16"/>
          <w:szCs w:val="16"/>
        </w:rPr>
        <w:t xml:space="preserve"> </w:t>
      </w:r>
      <w:proofErr w:type="spellStart"/>
      <w:r w:rsidRPr="000B220C">
        <w:rPr>
          <w:rFonts w:ascii="Times New Roman" w:eastAsia="Times New Roman" w:hAnsi="Times New Roman" w:cs="Times New Roman"/>
          <w:i/>
          <w:iCs/>
          <w:sz w:val="16"/>
          <w:szCs w:val="16"/>
        </w:rPr>
        <w:t>electronică</w:t>
      </w:r>
      <w:proofErr w:type="spellEnd"/>
      <w:r w:rsidRPr="000B220C">
        <w:rPr>
          <w:rFonts w:ascii="Times New Roman" w:eastAsia="Times New Roman" w:hAnsi="Times New Roman" w:cs="Times New Roman"/>
          <w:i/>
          <w:iCs/>
          <w:sz w:val="16"/>
          <w:szCs w:val="16"/>
        </w:rPr>
        <w:t xml:space="preserve">]. – </w:t>
      </w:r>
      <w:proofErr w:type="spellStart"/>
      <w:r w:rsidRPr="000B220C">
        <w:rPr>
          <w:rFonts w:ascii="Times New Roman" w:eastAsia="Times New Roman" w:hAnsi="Times New Roman" w:cs="Times New Roman"/>
          <w:i/>
          <w:iCs/>
          <w:sz w:val="16"/>
          <w:szCs w:val="16"/>
        </w:rPr>
        <w:t>Disponibil</w:t>
      </w:r>
      <w:proofErr w:type="spellEnd"/>
      <w:r w:rsidRPr="000B220C">
        <w:rPr>
          <w:rFonts w:ascii="Times New Roman" w:eastAsia="Times New Roman" w:hAnsi="Times New Roman" w:cs="Times New Roman"/>
          <w:i/>
          <w:iCs/>
          <w:sz w:val="16"/>
          <w:szCs w:val="16"/>
        </w:rPr>
        <w:t xml:space="preserve">: </w:t>
      </w:r>
      <w:hyperlink r:id="rId27" w:tgtFrame="_new" w:history="1">
        <w:proofErr w:type="spellStart"/>
        <w:r w:rsidRPr="000B220C">
          <w:rPr>
            <w:rFonts w:ascii="Times New Roman" w:eastAsia="Times New Roman" w:hAnsi="Times New Roman" w:cs="Times New Roman"/>
            <w:i/>
            <w:iCs/>
            <w:color w:val="0563C1" w:themeColor="hyperlink"/>
            <w:sz w:val="16"/>
            <w:szCs w:val="16"/>
            <w:u w:val="single"/>
          </w:rPr>
          <w:t>StatBank</w:t>
        </w:r>
        <w:proofErr w:type="spellEnd"/>
        <w:r w:rsidRPr="000B220C">
          <w:rPr>
            <w:rFonts w:ascii="Times New Roman" w:eastAsia="Times New Roman" w:hAnsi="Times New Roman" w:cs="Times New Roman"/>
            <w:i/>
            <w:iCs/>
            <w:color w:val="0563C1" w:themeColor="hyperlink"/>
            <w:sz w:val="16"/>
            <w:szCs w:val="16"/>
            <w:u w:val="single"/>
          </w:rPr>
          <w:t xml:space="preserve"> Moldova</w:t>
        </w:r>
      </w:hyperlink>
    </w:p>
    <w:p w:rsidR="00CA5D1C" w:rsidRDefault="00CA5D1C" w:rsidP="003F5D83">
      <w:pPr>
        <w:spacing w:after="0" w:line="240" w:lineRule="auto"/>
        <w:ind w:firstLine="709"/>
        <w:jc w:val="both"/>
        <w:rPr>
          <w:rFonts w:ascii="Times New Roman" w:eastAsia="Times New Roman" w:hAnsi="Times New Roman" w:cs="Times New Roman"/>
          <w:sz w:val="24"/>
          <w:szCs w:val="24"/>
        </w:rPr>
      </w:pPr>
    </w:p>
    <w:p w:rsidR="001F0E6B" w:rsidRPr="00DE7084" w:rsidRDefault="001F0E6B" w:rsidP="003F5D83">
      <w:pPr>
        <w:spacing w:after="0" w:line="240" w:lineRule="auto"/>
        <w:ind w:firstLine="709"/>
        <w:jc w:val="both"/>
        <w:rPr>
          <w:rFonts w:ascii="Times New Roman" w:eastAsia="Times New Roman" w:hAnsi="Times New Roman" w:cs="Times New Roman"/>
          <w:sz w:val="24"/>
          <w:szCs w:val="24"/>
        </w:rPr>
      </w:pPr>
    </w:p>
    <w:p w:rsidR="003F5D83" w:rsidRPr="00C93788" w:rsidRDefault="003F5D83" w:rsidP="003F5D83">
      <w:pPr>
        <w:spacing w:after="0" w:line="240" w:lineRule="auto"/>
        <w:ind w:firstLine="709"/>
        <w:jc w:val="both"/>
        <w:rPr>
          <w:rFonts w:ascii="Times New Roman" w:eastAsia="Times New Roman" w:hAnsi="Times New Roman" w:cs="Times New Roman"/>
          <w:sz w:val="24"/>
          <w:szCs w:val="24"/>
          <w:lang w:val="ru-RU"/>
        </w:rPr>
      </w:pPr>
      <w:r w:rsidRPr="00C93788">
        <w:rPr>
          <w:rFonts w:ascii="Times New Roman" w:eastAsia="Times New Roman" w:hAnsi="Times New Roman" w:cs="Times New Roman"/>
          <w:sz w:val="24"/>
          <w:szCs w:val="24"/>
          <w:lang w:val="ru-RU"/>
        </w:rPr>
        <w:t>Анализ численности работников на предприятиях по регионам развития Республики Молдова в 2020–2024 гг. показывает общую тенденцию к умеренному росту занятости. В целом по стране численность работников увеличилась с 385,8 тыс. человек в 2020 г. до 411,4 тыс. человек в 2024 г., что составляет рост на 6,6%. После относительно сдержанной динамики в 2021–2022 гг. наблюдается более выраженное увеличение занятости в 2023–2024 гг., что свидетельствует о постепенном восстановлении и активизации экономической деятельности.</w:t>
      </w:r>
    </w:p>
    <w:p w:rsidR="003F5D83" w:rsidRPr="00C93788" w:rsidRDefault="003F5D83" w:rsidP="003F5D83">
      <w:pPr>
        <w:spacing w:after="0" w:line="240" w:lineRule="auto"/>
        <w:ind w:firstLine="709"/>
        <w:jc w:val="both"/>
        <w:rPr>
          <w:rFonts w:ascii="Times New Roman" w:eastAsia="Times New Roman" w:hAnsi="Times New Roman" w:cs="Times New Roman"/>
          <w:sz w:val="24"/>
          <w:szCs w:val="24"/>
          <w:lang w:val="ru-RU"/>
        </w:rPr>
      </w:pPr>
      <w:r w:rsidRPr="00C93788">
        <w:rPr>
          <w:rFonts w:ascii="Times New Roman" w:eastAsia="Times New Roman" w:hAnsi="Times New Roman" w:cs="Times New Roman"/>
          <w:sz w:val="24"/>
          <w:szCs w:val="24"/>
          <w:lang w:val="ru-RU"/>
        </w:rPr>
        <w:t>Наибольшая концентрация занятых по-прежнему сохраняется в муниципии Кишинёв, где в 2024 г. сосредоточено около 59,9% всех работников страны. В регионах Север и Центр доля занятых составляет соответственно около 15,0% и 15,9%, тогда как регион Юг аккумулирует около 6,2% общей численности работников. Это подтверждает значительную территориальную концентрацию трудовых ресурсов в столичном регионе.</w:t>
      </w:r>
    </w:p>
    <w:p w:rsidR="003F5D83" w:rsidRPr="00C93788" w:rsidRDefault="003F5D83" w:rsidP="003F5D83">
      <w:pPr>
        <w:spacing w:after="0" w:line="240" w:lineRule="auto"/>
        <w:ind w:firstLine="709"/>
        <w:jc w:val="both"/>
        <w:rPr>
          <w:rFonts w:ascii="Times New Roman" w:eastAsia="Times New Roman" w:hAnsi="Times New Roman" w:cs="Times New Roman"/>
          <w:sz w:val="24"/>
          <w:szCs w:val="24"/>
          <w:lang w:val="ru-RU"/>
        </w:rPr>
      </w:pPr>
      <w:r w:rsidRPr="00C93788">
        <w:rPr>
          <w:rFonts w:ascii="Times New Roman" w:eastAsia="Times New Roman" w:hAnsi="Times New Roman" w:cs="Times New Roman"/>
          <w:sz w:val="24"/>
          <w:szCs w:val="24"/>
          <w:lang w:val="ru-RU"/>
        </w:rPr>
        <w:t>В 2024 г. на АТО Гагаузия приходится около 3,0% общей численности работников страны. Численность занятых в регионе демонстрирует слабовыраженную положительную динамику: с 11,6 тыс. человек в 2020 г. до 12,3 тыс. человек в 2024 г., что соответствует росту примерно на 6,0%. При этом в течение периода наблюдаются колебания: рост в 2021 г., снижение в 2022 г. и последующая стабилизация в 2023–2024 гг.</w:t>
      </w:r>
    </w:p>
    <w:p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 xml:space="preserve">Сопоставление с ранее рассмотренными показателями демографии предприятий показывает, что при высокой доле активных предприятий в АТО Гагаузия (84,5%) и сравнительно высоком уровне их создания (6,2%), уровень занятости остаётся низким — около 3,0% от общей численности работников страны, что говорит о преобладании малых </w:t>
      </w:r>
      <w:r w:rsidRPr="00315592">
        <w:rPr>
          <w:rFonts w:ascii="Times New Roman" w:eastAsia="Times New Roman" w:hAnsi="Times New Roman" w:cs="Times New Roman"/>
          <w:sz w:val="24"/>
          <w:szCs w:val="24"/>
          <w:lang w:val="ru-RU"/>
        </w:rPr>
        <w:lastRenderedPageBreak/>
        <w:t>предприятий с ограниченной численностью персонала, а также о недостаточном создании новых рабочих мест.</w:t>
      </w:r>
    </w:p>
    <w:p w:rsidR="003F5D83" w:rsidRPr="00315592" w:rsidRDefault="003F5D83" w:rsidP="003F5D83">
      <w:pPr>
        <w:spacing w:after="0" w:line="240" w:lineRule="auto"/>
        <w:ind w:firstLine="709"/>
        <w:jc w:val="both"/>
        <w:rPr>
          <w:rFonts w:ascii="Times New Roman" w:eastAsia="Times New Roman" w:hAnsi="Times New Roman" w:cs="Times New Roman"/>
          <w:sz w:val="24"/>
          <w:szCs w:val="24"/>
          <w:lang w:val="ru-RU"/>
        </w:rPr>
      </w:pPr>
      <w:r w:rsidRPr="00315592">
        <w:rPr>
          <w:rFonts w:ascii="Times New Roman" w:eastAsia="Times New Roman" w:hAnsi="Times New Roman" w:cs="Times New Roman"/>
          <w:sz w:val="24"/>
          <w:szCs w:val="24"/>
          <w:lang w:val="ru-RU"/>
        </w:rPr>
        <w:t>К этим причинам добавляется также уход с рынка крупных предприятий региона (</w:t>
      </w:r>
      <w:r w:rsidRPr="00315592">
        <w:rPr>
          <w:rFonts w:ascii="Times New Roman" w:eastAsia="Times New Roman" w:hAnsi="Times New Roman" w:cs="Times New Roman"/>
          <w:sz w:val="24"/>
          <w:szCs w:val="24"/>
          <w:shd w:val="clear" w:color="auto" w:fill="FFFFFF"/>
          <w:lang w:val="ru-RU"/>
        </w:rPr>
        <w:t>"</w:t>
      </w:r>
      <w:r w:rsidRPr="00315592">
        <w:rPr>
          <w:rFonts w:ascii="Times New Roman" w:eastAsia="Times New Roman" w:hAnsi="Times New Roman" w:cs="Times New Roman"/>
          <w:sz w:val="24"/>
          <w:szCs w:val="24"/>
          <w:shd w:val="clear" w:color="auto" w:fill="FFFFFF"/>
        </w:rPr>
        <w:t>Fujikura</w:t>
      </w:r>
      <w:r w:rsidRPr="00315592">
        <w:rPr>
          <w:rFonts w:ascii="Times New Roman" w:eastAsia="Times New Roman" w:hAnsi="Times New Roman" w:cs="Times New Roman"/>
          <w:sz w:val="24"/>
          <w:szCs w:val="24"/>
          <w:shd w:val="clear" w:color="auto" w:fill="FFFFFF"/>
          <w:lang w:val="ru-RU"/>
        </w:rPr>
        <w:t xml:space="preserve"> </w:t>
      </w:r>
      <w:r w:rsidRPr="00315592">
        <w:rPr>
          <w:rFonts w:ascii="Times New Roman" w:eastAsia="Times New Roman" w:hAnsi="Times New Roman" w:cs="Times New Roman"/>
          <w:sz w:val="24"/>
          <w:szCs w:val="24"/>
          <w:shd w:val="clear" w:color="auto" w:fill="FFFFFF"/>
        </w:rPr>
        <w:t>Automotive</w:t>
      </w:r>
      <w:r w:rsidRPr="00315592">
        <w:rPr>
          <w:rFonts w:ascii="Times New Roman" w:eastAsia="Times New Roman" w:hAnsi="Times New Roman" w:cs="Times New Roman"/>
          <w:sz w:val="24"/>
          <w:szCs w:val="24"/>
          <w:shd w:val="clear" w:color="auto" w:fill="FFFFFF"/>
          <w:lang w:val="ru-RU"/>
        </w:rPr>
        <w:t xml:space="preserve"> </w:t>
      </w:r>
      <w:r w:rsidRPr="00315592">
        <w:rPr>
          <w:rFonts w:ascii="Times New Roman" w:eastAsia="Times New Roman" w:hAnsi="Times New Roman" w:cs="Times New Roman"/>
          <w:sz w:val="24"/>
          <w:szCs w:val="24"/>
          <w:shd w:val="clear" w:color="auto" w:fill="FFFFFF"/>
        </w:rPr>
        <w:t>MLD</w:t>
      </w:r>
      <w:r w:rsidRPr="00315592">
        <w:rPr>
          <w:rFonts w:ascii="Times New Roman" w:eastAsia="Times New Roman" w:hAnsi="Times New Roman" w:cs="Times New Roman"/>
          <w:sz w:val="24"/>
          <w:szCs w:val="24"/>
          <w:shd w:val="clear" w:color="auto" w:fill="FFFFFF"/>
          <w:lang w:val="ru-RU"/>
        </w:rPr>
        <w:t xml:space="preserve"> </w:t>
      </w:r>
      <w:r w:rsidRPr="00315592">
        <w:rPr>
          <w:rFonts w:ascii="Times New Roman" w:eastAsia="Times New Roman" w:hAnsi="Times New Roman" w:cs="Times New Roman"/>
          <w:sz w:val="24"/>
          <w:szCs w:val="24"/>
          <w:shd w:val="clear" w:color="auto" w:fill="FFFFFF"/>
        </w:rPr>
        <w:t>SRL</w:t>
      </w:r>
      <w:r w:rsidRPr="00315592">
        <w:rPr>
          <w:rFonts w:ascii="Times New Roman" w:eastAsia="Times New Roman" w:hAnsi="Times New Roman" w:cs="Times New Roman"/>
          <w:sz w:val="24"/>
          <w:szCs w:val="24"/>
          <w:shd w:val="clear" w:color="auto" w:fill="FFFFFF"/>
          <w:lang w:val="ru-RU"/>
        </w:rPr>
        <w:t>" м.</w:t>
      </w:r>
      <w:r w:rsidR="002E79D5">
        <w:rPr>
          <w:rFonts w:ascii="Times New Roman" w:eastAsia="Times New Roman" w:hAnsi="Times New Roman" w:cs="Times New Roman"/>
          <w:sz w:val="24"/>
          <w:szCs w:val="24"/>
          <w:shd w:val="clear" w:color="auto" w:fill="FFFFFF"/>
          <w:lang w:val="ru-RU"/>
        </w:rPr>
        <w:t xml:space="preserve"> </w:t>
      </w:r>
      <w:r w:rsidRPr="00315592">
        <w:rPr>
          <w:rFonts w:ascii="Times New Roman" w:eastAsia="Times New Roman" w:hAnsi="Times New Roman" w:cs="Times New Roman"/>
          <w:sz w:val="24"/>
          <w:szCs w:val="24"/>
          <w:shd w:val="clear" w:color="auto" w:fill="FFFFFF"/>
          <w:lang w:val="ru-RU"/>
        </w:rPr>
        <w:t xml:space="preserve">Комрат; </w:t>
      </w:r>
      <w:r w:rsidRPr="00315592">
        <w:rPr>
          <w:rFonts w:ascii="Times New Roman" w:eastAsia="Times New Roman" w:hAnsi="Times New Roman" w:cs="Times New Roman"/>
          <w:sz w:val="24"/>
          <w:szCs w:val="24"/>
          <w:shd w:val="clear" w:color="auto" w:fill="FFFFFF"/>
        </w:rPr>
        <w:t>SRL</w:t>
      </w:r>
      <w:r w:rsidRPr="00315592">
        <w:rPr>
          <w:rFonts w:ascii="Times New Roman" w:eastAsia="Times New Roman" w:hAnsi="Times New Roman" w:cs="Times New Roman"/>
          <w:sz w:val="24"/>
          <w:szCs w:val="24"/>
          <w:shd w:val="clear" w:color="auto" w:fill="FFFFFF"/>
          <w:lang w:val="ru-RU"/>
        </w:rPr>
        <w:t xml:space="preserve"> «</w:t>
      </w:r>
      <w:proofErr w:type="spellStart"/>
      <w:r w:rsidRPr="00315592">
        <w:rPr>
          <w:rFonts w:ascii="Times New Roman" w:eastAsia="Times New Roman" w:hAnsi="Times New Roman" w:cs="Times New Roman"/>
          <w:sz w:val="24"/>
          <w:szCs w:val="24"/>
          <w:shd w:val="clear" w:color="auto" w:fill="FFFFFF"/>
        </w:rPr>
        <w:t>Asena</w:t>
      </w:r>
      <w:proofErr w:type="spellEnd"/>
      <w:r w:rsidRPr="00315592">
        <w:rPr>
          <w:rFonts w:ascii="Times New Roman" w:eastAsia="Times New Roman" w:hAnsi="Times New Roman" w:cs="Times New Roman"/>
          <w:sz w:val="24"/>
          <w:szCs w:val="24"/>
          <w:shd w:val="clear" w:color="auto" w:fill="FFFFFF"/>
          <w:lang w:val="ru-RU"/>
        </w:rPr>
        <w:t xml:space="preserve"> </w:t>
      </w:r>
      <w:proofErr w:type="spellStart"/>
      <w:r w:rsidRPr="00315592">
        <w:rPr>
          <w:rFonts w:ascii="Times New Roman" w:eastAsia="Times New Roman" w:hAnsi="Times New Roman" w:cs="Times New Roman"/>
          <w:sz w:val="24"/>
          <w:szCs w:val="24"/>
          <w:shd w:val="clear" w:color="auto" w:fill="FFFFFF"/>
        </w:rPr>
        <w:t>Textil</w:t>
      </w:r>
      <w:proofErr w:type="spellEnd"/>
      <w:r w:rsidRPr="00315592">
        <w:rPr>
          <w:rFonts w:ascii="Times New Roman" w:eastAsia="Times New Roman" w:hAnsi="Times New Roman" w:cs="Times New Roman"/>
          <w:sz w:val="24"/>
          <w:szCs w:val="24"/>
          <w:shd w:val="clear" w:color="auto" w:fill="FFFFFF"/>
          <w:lang w:val="ru-RU"/>
        </w:rPr>
        <w:t>» м. Чадыр-Лунга и др.</w:t>
      </w:r>
      <w:r w:rsidRPr="00315592">
        <w:rPr>
          <w:rFonts w:ascii="Times New Roman" w:eastAsia="Times New Roman" w:hAnsi="Times New Roman" w:cs="Times New Roman"/>
          <w:sz w:val="24"/>
          <w:szCs w:val="24"/>
          <w:lang w:val="ru-RU"/>
        </w:rPr>
        <w:t>), а также сокращение объёмов производства (</w:t>
      </w:r>
      <w:r w:rsidRPr="00315592">
        <w:rPr>
          <w:rFonts w:ascii="Times New Roman" w:eastAsia="Times New Roman" w:hAnsi="Times New Roman" w:cs="Times New Roman"/>
          <w:sz w:val="24"/>
          <w:szCs w:val="24"/>
        </w:rPr>
        <w:t>DK</w:t>
      </w:r>
      <w:r w:rsidRPr="00315592">
        <w:rPr>
          <w:rFonts w:ascii="Times New Roman" w:eastAsia="Times New Roman" w:hAnsi="Times New Roman" w:cs="Times New Roman"/>
          <w:sz w:val="24"/>
          <w:szCs w:val="24"/>
          <w:lang w:val="ru-RU"/>
        </w:rPr>
        <w:t xml:space="preserve"> </w:t>
      </w:r>
      <w:proofErr w:type="spellStart"/>
      <w:r w:rsidRPr="00315592">
        <w:rPr>
          <w:rFonts w:ascii="Times New Roman" w:eastAsia="Times New Roman" w:hAnsi="Times New Roman" w:cs="Times New Roman"/>
          <w:sz w:val="24"/>
          <w:szCs w:val="24"/>
        </w:rPr>
        <w:t>Intertraid</w:t>
      </w:r>
      <w:proofErr w:type="spellEnd"/>
      <w:r w:rsidRPr="00315592">
        <w:rPr>
          <w:rFonts w:ascii="Times New Roman" w:eastAsia="Times New Roman" w:hAnsi="Times New Roman" w:cs="Times New Roman"/>
          <w:sz w:val="24"/>
          <w:szCs w:val="24"/>
          <w:lang w:val="ru-RU"/>
        </w:rPr>
        <w:t xml:space="preserve"> г. Вулканешты).</w:t>
      </w:r>
    </w:p>
    <w:p w:rsidR="003F5D83" w:rsidRPr="00226936" w:rsidRDefault="003F5D83" w:rsidP="003F5D83">
      <w:pPr>
        <w:spacing w:after="0" w:line="240" w:lineRule="auto"/>
        <w:ind w:firstLine="709"/>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Региональный анализ показателей экономической активности, занятости и безработицы населения позволяет выявить существующие диспропорции на рынке труда</w:t>
      </w:r>
    </w:p>
    <w:p w:rsidR="006472C4" w:rsidRDefault="006472C4" w:rsidP="003F5D83">
      <w:pPr>
        <w:spacing w:after="0" w:line="240" w:lineRule="auto"/>
        <w:jc w:val="center"/>
        <w:rPr>
          <w:rFonts w:ascii="Times New Roman" w:eastAsia="Times New Roman" w:hAnsi="Times New Roman"/>
          <w:b/>
          <w:bCs/>
          <w:color w:val="000000"/>
          <w:kern w:val="2"/>
          <w:sz w:val="24"/>
          <w:szCs w:val="24"/>
          <w:lang w:val="ru-RU"/>
          <w14:ligatures w14:val="standardContextual"/>
        </w:rPr>
      </w:pPr>
    </w:p>
    <w:p w:rsidR="003F5D83" w:rsidRDefault="003F5D83" w:rsidP="003F5D83">
      <w:pPr>
        <w:spacing w:after="0" w:line="240" w:lineRule="auto"/>
        <w:jc w:val="center"/>
        <w:rPr>
          <w:rFonts w:ascii="Times New Roman" w:eastAsia="Times New Roman" w:hAnsi="Times New Roman"/>
          <w:b/>
          <w:bCs/>
          <w:color w:val="000000"/>
          <w:kern w:val="2"/>
          <w:sz w:val="24"/>
          <w:szCs w:val="24"/>
          <w:lang w:val="ru-RU"/>
          <w14:ligatures w14:val="standardContextual"/>
        </w:rPr>
      </w:pPr>
      <w:r w:rsidRPr="00226936">
        <w:rPr>
          <w:rFonts w:ascii="Times New Roman" w:eastAsia="Times New Roman" w:hAnsi="Times New Roman"/>
          <w:b/>
          <w:bCs/>
          <w:color w:val="000000"/>
          <w:kern w:val="2"/>
          <w:sz w:val="24"/>
          <w:szCs w:val="24"/>
          <w:lang w:val="ru-RU"/>
          <w14:ligatures w14:val="standardContextual"/>
        </w:rPr>
        <w:t>Таблица</w:t>
      </w:r>
      <w:r>
        <w:rPr>
          <w:rFonts w:ascii="Times New Roman" w:eastAsia="Times New Roman" w:hAnsi="Times New Roman"/>
          <w:b/>
          <w:bCs/>
          <w:color w:val="000000"/>
          <w:kern w:val="2"/>
          <w:sz w:val="24"/>
          <w:szCs w:val="24"/>
          <w:lang w:val="ru-RU"/>
          <w14:ligatures w14:val="standardContextual"/>
        </w:rPr>
        <w:t xml:space="preserve"> 2.9.</w:t>
      </w:r>
      <w:r w:rsidRPr="00226936">
        <w:rPr>
          <w:rFonts w:ascii="Times New Roman" w:eastAsia="Times New Roman" w:hAnsi="Times New Roman"/>
          <w:b/>
          <w:bCs/>
          <w:color w:val="000000"/>
          <w:kern w:val="2"/>
          <w:sz w:val="24"/>
          <w:szCs w:val="24"/>
          <w:lang w:val="ru-RU"/>
          <w14:ligatures w14:val="standardContextual"/>
        </w:rPr>
        <w:t xml:space="preserve"> Уровень экономической активности, занятости и безработицы населения по регионам развития Республики Молдова в 20</w:t>
      </w:r>
      <w:r>
        <w:rPr>
          <w:rFonts w:ascii="Times New Roman" w:eastAsia="Times New Roman" w:hAnsi="Times New Roman"/>
          <w:b/>
          <w:bCs/>
          <w:color w:val="000000"/>
          <w:kern w:val="2"/>
          <w:sz w:val="24"/>
          <w:szCs w:val="24"/>
          <w:lang w:val="ru-RU"/>
          <w14:ligatures w14:val="standardContextual"/>
        </w:rPr>
        <w:t>20</w:t>
      </w:r>
      <w:r w:rsidRPr="00226936">
        <w:rPr>
          <w:rFonts w:ascii="Times New Roman" w:eastAsia="Times New Roman" w:hAnsi="Times New Roman"/>
          <w:b/>
          <w:bCs/>
          <w:color w:val="000000"/>
          <w:kern w:val="2"/>
          <w:sz w:val="24"/>
          <w:szCs w:val="24"/>
          <w:lang w:val="ru-RU"/>
          <w14:ligatures w14:val="standardContextual"/>
        </w:rPr>
        <w:t>–202</w:t>
      </w:r>
      <w:r>
        <w:rPr>
          <w:rFonts w:ascii="Times New Roman" w:eastAsia="Times New Roman" w:hAnsi="Times New Roman"/>
          <w:b/>
          <w:bCs/>
          <w:color w:val="000000"/>
          <w:kern w:val="2"/>
          <w:sz w:val="24"/>
          <w:szCs w:val="24"/>
          <w:lang w:val="ru-RU"/>
          <w14:ligatures w14:val="standardContextual"/>
        </w:rPr>
        <w:t>5</w:t>
      </w:r>
      <w:r w:rsidRPr="00226936">
        <w:rPr>
          <w:rFonts w:ascii="Times New Roman" w:eastAsia="Times New Roman" w:hAnsi="Times New Roman"/>
          <w:b/>
          <w:bCs/>
          <w:color w:val="000000"/>
          <w:kern w:val="2"/>
          <w:sz w:val="24"/>
          <w:szCs w:val="24"/>
          <w:lang w:val="ru-RU"/>
          <w14:ligatures w14:val="standardContextual"/>
        </w:rPr>
        <w:t xml:space="preserve"> гг., %</w:t>
      </w:r>
    </w:p>
    <w:p w:rsidR="006472C4" w:rsidRDefault="006472C4" w:rsidP="003F5D83">
      <w:pPr>
        <w:spacing w:after="0" w:line="240" w:lineRule="auto"/>
        <w:jc w:val="center"/>
        <w:rPr>
          <w:rFonts w:ascii="Times New Roman" w:eastAsia="Times New Roman" w:hAnsi="Times New Roman"/>
          <w:b/>
          <w:bCs/>
          <w:color w:val="000000"/>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977"/>
        <w:gridCol w:w="851"/>
        <w:gridCol w:w="850"/>
        <w:gridCol w:w="992"/>
        <w:gridCol w:w="993"/>
        <w:gridCol w:w="992"/>
      </w:tblGrid>
      <w:tr w:rsidR="003F5D83" w:rsidRPr="00E04FF4" w:rsidTr="006472C4">
        <w:trPr>
          <w:trHeight w:val="251"/>
        </w:trPr>
        <w:tc>
          <w:tcPr>
            <w:tcW w:w="1696" w:type="dxa"/>
            <w:hideMark/>
          </w:tcPr>
          <w:p w:rsidR="003F5D83" w:rsidRPr="00910F50" w:rsidRDefault="003F5D83" w:rsidP="003F5D83">
            <w:pPr>
              <w:jc w:val="center"/>
              <w:rPr>
                <w:rFonts w:ascii="Times New Roman" w:hAnsi="Times New Roman" w:cs="Times New Roman"/>
                <w:b/>
                <w:bCs/>
                <w:kern w:val="2"/>
                <w:sz w:val="24"/>
                <w:szCs w:val="24"/>
                <w:lang w:val="ru-RU"/>
                <w14:ligatures w14:val="standardContextual"/>
              </w:rPr>
            </w:pPr>
            <w:r>
              <w:rPr>
                <w:rFonts w:ascii="Times New Roman" w:hAnsi="Times New Roman" w:cs="Times New Roman"/>
                <w:b/>
                <w:bCs/>
                <w:kern w:val="2"/>
                <w:sz w:val="24"/>
                <w:szCs w:val="24"/>
                <w:lang w:val="ru-RU"/>
                <w14:ligatures w14:val="standardContextual"/>
              </w:rPr>
              <w:t>Регион</w:t>
            </w:r>
          </w:p>
        </w:tc>
        <w:tc>
          <w:tcPr>
            <w:tcW w:w="2977" w:type="dxa"/>
          </w:tcPr>
          <w:p w:rsidR="003F5D83" w:rsidRPr="0093474A" w:rsidRDefault="003F5D83" w:rsidP="003F5D83">
            <w:pPr>
              <w:jc w:val="center"/>
              <w:rPr>
                <w:rFonts w:ascii="Times New Roman" w:hAnsi="Times New Roman" w:cs="Times New Roman"/>
                <w:b/>
                <w:bCs/>
                <w:kern w:val="2"/>
                <w:sz w:val="24"/>
                <w:szCs w:val="24"/>
                <w:lang w:val="ru-RU"/>
                <w14:ligatures w14:val="standardContextual"/>
              </w:rPr>
            </w:pPr>
            <w:r>
              <w:rPr>
                <w:rFonts w:ascii="Times New Roman" w:hAnsi="Times New Roman" w:cs="Times New Roman"/>
                <w:b/>
                <w:bCs/>
                <w:kern w:val="2"/>
                <w:sz w:val="24"/>
                <w:szCs w:val="24"/>
                <w:lang w:val="ru-RU"/>
                <w14:ligatures w14:val="standardContextual"/>
              </w:rPr>
              <w:t>Показатель</w:t>
            </w:r>
          </w:p>
        </w:tc>
        <w:tc>
          <w:tcPr>
            <w:tcW w:w="851" w:type="dxa"/>
            <w:hideMark/>
          </w:tcPr>
          <w:p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2021</w:t>
            </w:r>
          </w:p>
        </w:tc>
        <w:tc>
          <w:tcPr>
            <w:tcW w:w="850" w:type="dxa"/>
            <w:hideMark/>
          </w:tcPr>
          <w:p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2022</w:t>
            </w:r>
          </w:p>
        </w:tc>
        <w:tc>
          <w:tcPr>
            <w:tcW w:w="992" w:type="dxa"/>
            <w:hideMark/>
          </w:tcPr>
          <w:p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2023</w:t>
            </w:r>
          </w:p>
        </w:tc>
        <w:tc>
          <w:tcPr>
            <w:tcW w:w="993" w:type="dxa"/>
            <w:hideMark/>
          </w:tcPr>
          <w:p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2024</w:t>
            </w:r>
          </w:p>
        </w:tc>
        <w:tc>
          <w:tcPr>
            <w:tcW w:w="992" w:type="dxa"/>
            <w:hideMark/>
          </w:tcPr>
          <w:p w:rsidR="003F5D83" w:rsidRPr="00E04FF4" w:rsidRDefault="003F5D83" w:rsidP="003F5D83">
            <w:pPr>
              <w:jc w:val="center"/>
              <w:rPr>
                <w:rFonts w:ascii="Times New Roman" w:hAnsi="Times New Roman" w:cs="Times New Roman"/>
                <w:b/>
                <w:bCs/>
                <w:kern w:val="2"/>
                <w:sz w:val="24"/>
                <w:szCs w:val="24"/>
                <w14:ligatures w14:val="standardContextual"/>
              </w:rPr>
            </w:pPr>
            <w:r w:rsidRPr="00E04FF4">
              <w:rPr>
                <w:rFonts w:ascii="Times New Roman" w:hAnsi="Times New Roman" w:cs="Times New Roman"/>
                <w:b/>
                <w:bCs/>
                <w:kern w:val="2"/>
                <w:sz w:val="24"/>
                <w:szCs w:val="24"/>
                <w14:ligatures w14:val="standardContextual"/>
              </w:rPr>
              <w:t>2025</w:t>
            </w:r>
          </w:p>
        </w:tc>
      </w:tr>
      <w:tr w:rsidR="003F5D83" w:rsidRPr="00E04FF4" w:rsidTr="006472C4">
        <w:trPr>
          <w:trHeight w:val="503"/>
        </w:trPr>
        <w:tc>
          <w:tcPr>
            <w:tcW w:w="1696" w:type="dxa"/>
            <w:vMerge w:val="restart"/>
            <w:hideMark/>
          </w:tcPr>
          <w:p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 xml:space="preserve">Всего по стране </w:t>
            </w:r>
          </w:p>
          <w:p w:rsidR="003F5D83" w:rsidRPr="00226936" w:rsidRDefault="003F5D83" w:rsidP="006472C4">
            <w:pPr>
              <w:spacing w:after="0"/>
              <w:rPr>
                <w:rFonts w:ascii="Times New Roman" w:eastAsia="Times New Roman" w:hAnsi="Times New Roman" w:cs="Times New Roman"/>
                <w:color w:val="000000"/>
              </w:rPr>
            </w:pPr>
            <w:r w:rsidRPr="00226936">
              <w:rPr>
                <w:rFonts w:ascii="Times New Roman" w:eastAsia="Times New Roman" w:hAnsi="Times New Roman" w:cs="Times New Roman"/>
                <w:color w:val="000000"/>
              </w:rPr>
              <w:t> </w:t>
            </w:r>
          </w:p>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rPr>
              <w:t> </w:t>
            </w: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41,1</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41,8</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45,1</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44,5</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41,8</w:t>
            </w:r>
          </w:p>
        </w:tc>
      </w:tr>
      <w:tr w:rsidR="003F5D83" w:rsidRPr="00E04FF4" w:rsidTr="006472C4">
        <w:trPr>
          <w:trHeight w:val="130"/>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39,8</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40,5</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43,1</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42,7</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40,2</w:t>
            </w:r>
          </w:p>
        </w:tc>
      </w:tr>
      <w:tr w:rsidR="003F5D83" w:rsidRPr="00E04FF4" w:rsidTr="006472C4">
        <w:trPr>
          <w:trHeight w:val="130"/>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3,2</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3,1</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4,6</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3,8</w:t>
            </w:r>
          </w:p>
        </w:tc>
      </w:tr>
      <w:tr w:rsidR="003F5D83" w:rsidRPr="00E04FF4" w:rsidTr="006472C4">
        <w:trPr>
          <w:trHeight w:val="503"/>
        </w:trPr>
        <w:tc>
          <w:tcPr>
            <w:tcW w:w="1696" w:type="dxa"/>
            <w:vMerge w:val="restart"/>
            <w:hideMark/>
          </w:tcPr>
          <w:p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РР Кишинев</w:t>
            </w:r>
          </w:p>
          <w:p w:rsidR="003F5D83" w:rsidRPr="00226936" w:rsidRDefault="003F5D83" w:rsidP="006472C4">
            <w:pPr>
              <w:spacing w:after="0"/>
              <w:rPr>
                <w:rFonts w:ascii="Times New Roman" w:eastAsia="Times New Roman" w:hAnsi="Times New Roman" w:cs="Times New Roman"/>
                <w:color w:val="000000"/>
              </w:rPr>
            </w:pPr>
            <w:r w:rsidRPr="00226936">
              <w:rPr>
                <w:rFonts w:ascii="Times New Roman" w:eastAsia="Times New Roman" w:hAnsi="Times New Roman" w:cs="Times New Roman"/>
                <w:color w:val="000000"/>
              </w:rPr>
              <w:t> </w:t>
            </w:r>
          </w:p>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rPr>
              <w:t> </w:t>
            </w: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50,9</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52,5</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51,3</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52,7</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50,8</w:t>
            </w:r>
          </w:p>
        </w:tc>
      </w:tr>
      <w:tr w:rsidR="003F5D83" w:rsidRPr="00E04FF4" w:rsidTr="006472C4">
        <w:trPr>
          <w:trHeight w:val="130"/>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49,2</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50,6</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49,1</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50,8</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48,5</w:t>
            </w:r>
          </w:p>
        </w:tc>
      </w:tr>
      <w:tr w:rsidR="003F5D83" w:rsidRPr="00E04FF4" w:rsidTr="006472C4">
        <w:trPr>
          <w:trHeight w:val="130"/>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3,3</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3,7</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4,2</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3,6</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4,4</w:t>
            </w:r>
          </w:p>
        </w:tc>
      </w:tr>
      <w:tr w:rsidR="003F5D83" w:rsidRPr="00E04FF4" w:rsidTr="006472C4">
        <w:trPr>
          <w:trHeight w:val="503"/>
        </w:trPr>
        <w:tc>
          <w:tcPr>
            <w:tcW w:w="1696" w:type="dxa"/>
            <w:vMerge w:val="restart"/>
            <w:hideMark/>
          </w:tcPr>
          <w:p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РР Север</w:t>
            </w:r>
          </w:p>
          <w:p w:rsidR="003F5D83" w:rsidRPr="00226936" w:rsidRDefault="003F5D83" w:rsidP="006472C4">
            <w:pPr>
              <w:spacing w:after="0"/>
              <w:rPr>
                <w:rFonts w:ascii="Times New Roman" w:eastAsia="Times New Roman" w:hAnsi="Times New Roman" w:cs="Times New Roman"/>
                <w:color w:val="000000"/>
              </w:rPr>
            </w:pPr>
            <w:r w:rsidRPr="00226936">
              <w:rPr>
                <w:rFonts w:ascii="Times New Roman" w:eastAsia="Times New Roman" w:hAnsi="Times New Roman" w:cs="Times New Roman"/>
                <w:color w:val="000000"/>
              </w:rPr>
              <w:t> </w:t>
            </w:r>
          </w:p>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rPr>
              <w:t> </w:t>
            </w: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45,0</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46,5</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49,3</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48,1</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42,1</w:t>
            </w:r>
          </w:p>
        </w:tc>
      </w:tr>
      <w:tr w:rsidR="003F5D83" w:rsidRPr="00E04FF4" w:rsidTr="006472C4">
        <w:trPr>
          <w:trHeight w:val="130"/>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43,3</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45,0</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47,0</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45,9</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40,0</w:t>
            </w:r>
          </w:p>
        </w:tc>
      </w:tr>
      <w:tr w:rsidR="003F5D83" w:rsidRPr="00E04FF4" w:rsidTr="006472C4">
        <w:trPr>
          <w:trHeight w:val="130"/>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3,8</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3,2</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4,7</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4,7</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5,0</w:t>
            </w:r>
          </w:p>
        </w:tc>
      </w:tr>
      <w:tr w:rsidR="003F5D83" w:rsidRPr="00E04FF4" w:rsidTr="006472C4">
        <w:trPr>
          <w:trHeight w:val="493"/>
        </w:trPr>
        <w:tc>
          <w:tcPr>
            <w:tcW w:w="1696" w:type="dxa"/>
            <w:vMerge w:val="restart"/>
            <w:hideMark/>
          </w:tcPr>
          <w:p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РР Центр</w:t>
            </w:r>
          </w:p>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rPr>
              <w:t> </w:t>
            </w: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35,9</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36,0</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40,1</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38,1</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35,5</w:t>
            </w:r>
          </w:p>
        </w:tc>
      </w:tr>
      <w:tr w:rsidR="003F5D83" w:rsidRPr="00E04FF4" w:rsidTr="006472C4">
        <w:trPr>
          <w:trHeight w:val="130"/>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35,0</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35,1</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38,2</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36,8</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34,4</w:t>
            </w:r>
          </w:p>
        </w:tc>
      </w:tr>
      <w:tr w:rsidR="003F5D83" w:rsidRPr="00E04FF4" w:rsidTr="006472C4">
        <w:trPr>
          <w:trHeight w:val="130"/>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2,6</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2,5</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4,8</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3,4</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w:t>
            </w:r>
          </w:p>
        </w:tc>
      </w:tr>
      <w:tr w:rsidR="003F5D83" w:rsidRPr="00E04FF4" w:rsidTr="006472C4">
        <w:trPr>
          <w:trHeight w:val="503"/>
        </w:trPr>
        <w:tc>
          <w:tcPr>
            <w:tcW w:w="1696" w:type="dxa"/>
            <w:vMerge w:val="restart"/>
            <w:hideMark/>
          </w:tcPr>
          <w:p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Всего РР Юг</w:t>
            </w:r>
          </w:p>
          <w:p w:rsidR="003F5D83" w:rsidRPr="00226936" w:rsidRDefault="003F5D83" w:rsidP="006472C4">
            <w:pPr>
              <w:spacing w:after="0"/>
              <w:rPr>
                <w:rFonts w:ascii="Times New Roman" w:eastAsia="Times New Roman" w:hAnsi="Times New Roman" w:cs="Times New Roman"/>
                <w:color w:val="000000"/>
                <w:lang w:val="ru-RU"/>
              </w:rPr>
            </w:pPr>
            <w:r w:rsidRPr="00226936">
              <w:rPr>
                <w:rFonts w:ascii="Times New Roman" w:eastAsia="Times New Roman" w:hAnsi="Times New Roman" w:cs="Times New Roman"/>
                <w:color w:val="000000"/>
                <w:lang w:val="ru-RU"/>
              </w:rPr>
              <w:t xml:space="preserve">и РР АТО Гагаузия </w:t>
            </w:r>
          </w:p>
          <w:p w:rsidR="003F5D83" w:rsidRPr="00E04FF4" w:rsidRDefault="003F5D83" w:rsidP="006472C4">
            <w:pPr>
              <w:spacing w:after="0"/>
              <w:jc w:val="both"/>
              <w:rPr>
                <w:rFonts w:ascii="Times New Roman" w:hAnsi="Times New Roman" w:cs="Times New Roman"/>
                <w:b/>
                <w:bCs/>
                <w:kern w:val="2"/>
                <w:sz w:val="24"/>
                <w:szCs w:val="24"/>
                <w:lang w:val="ru-RU"/>
                <w14:ligatures w14:val="standardContextual"/>
              </w:rPr>
            </w:pPr>
            <w:r w:rsidRPr="00226936">
              <w:rPr>
                <w:rFonts w:ascii="Times New Roman" w:eastAsia="Times New Roman" w:hAnsi="Times New Roman" w:cs="Times New Roman"/>
                <w:color w:val="000000"/>
              </w:rPr>
              <w:t> </w:t>
            </w: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экономически активного населения</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31,5</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30,9</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37,6</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36,3</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35,9</w:t>
            </w:r>
          </w:p>
        </w:tc>
      </w:tr>
      <w:tr w:rsidR="003F5D83" w:rsidRPr="00E04FF4" w:rsidTr="006472C4">
        <w:trPr>
          <w:trHeight w:val="130"/>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занятых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30,5</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30,1</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35,8</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34,8</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35,3</w:t>
            </w:r>
          </w:p>
        </w:tc>
      </w:tr>
      <w:tr w:rsidR="003F5D83" w:rsidRPr="00E04FF4" w:rsidTr="006472C4">
        <w:trPr>
          <w:trHeight w:val="45"/>
        </w:trPr>
        <w:tc>
          <w:tcPr>
            <w:tcW w:w="1696" w:type="dxa"/>
            <w:vMerge/>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p>
        </w:tc>
        <w:tc>
          <w:tcPr>
            <w:tcW w:w="2977" w:type="dxa"/>
            <w:hideMark/>
          </w:tcPr>
          <w:p w:rsidR="003F5D83" w:rsidRPr="00E04FF4" w:rsidRDefault="003F5D83" w:rsidP="006472C4">
            <w:pPr>
              <w:spacing w:after="0"/>
              <w:jc w:val="both"/>
              <w:rPr>
                <w:rFonts w:ascii="Times New Roman" w:hAnsi="Times New Roman" w:cs="Times New Roman"/>
                <w:b/>
                <w:bCs/>
                <w:kern w:val="2"/>
                <w:sz w:val="24"/>
                <w:szCs w:val="24"/>
                <w14:ligatures w14:val="standardContextual"/>
              </w:rPr>
            </w:pPr>
            <w:r w:rsidRPr="00226936">
              <w:rPr>
                <w:rFonts w:ascii="Times New Roman" w:eastAsia="Times New Roman" w:hAnsi="Times New Roman" w:cs="Times New Roman"/>
                <w:color w:val="000000"/>
                <w:lang w:val="ru-RU"/>
              </w:rPr>
              <w:t>Уровень безработных</w:t>
            </w:r>
          </w:p>
        </w:tc>
        <w:tc>
          <w:tcPr>
            <w:tcW w:w="851"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3,0</w:t>
            </w:r>
          </w:p>
        </w:tc>
        <w:tc>
          <w:tcPr>
            <w:tcW w:w="850"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2,8</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4,8</w:t>
            </w:r>
          </w:p>
        </w:tc>
        <w:tc>
          <w:tcPr>
            <w:tcW w:w="993"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4,2</w:t>
            </w:r>
          </w:p>
        </w:tc>
        <w:tc>
          <w:tcPr>
            <w:tcW w:w="992" w:type="dxa"/>
            <w:noWrap/>
            <w:hideMark/>
          </w:tcPr>
          <w:p w:rsidR="003F5D83" w:rsidRPr="00E04FF4" w:rsidRDefault="003F5D83" w:rsidP="006472C4">
            <w:pPr>
              <w:spacing w:after="0"/>
              <w:jc w:val="right"/>
              <w:rPr>
                <w:rFonts w:ascii="Times New Roman" w:hAnsi="Times New Roman" w:cs="Times New Roman"/>
                <w:kern w:val="2"/>
                <w:sz w:val="24"/>
                <w:szCs w:val="24"/>
                <w14:ligatures w14:val="standardContextual"/>
              </w:rPr>
            </w:pPr>
            <w:r w:rsidRPr="00E04FF4">
              <w:rPr>
                <w:rFonts w:ascii="Times New Roman" w:hAnsi="Times New Roman" w:cs="Times New Roman"/>
                <w:kern w:val="2"/>
                <w:sz w:val="24"/>
                <w:szCs w:val="24"/>
                <w14:ligatures w14:val="standardContextual"/>
              </w:rPr>
              <w:t>1,9</w:t>
            </w:r>
          </w:p>
        </w:tc>
      </w:tr>
    </w:tbl>
    <w:p w:rsidR="003F5D83" w:rsidRPr="000B220C" w:rsidRDefault="003F5D83" w:rsidP="003F5D83">
      <w:pPr>
        <w:spacing w:after="0" w:line="240" w:lineRule="auto"/>
        <w:ind w:right="-22"/>
        <w:jc w:val="both"/>
        <w:rPr>
          <w:rFonts w:ascii="Times New Roman" w:hAnsi="Times New Roman" w:cs="Times New Roman"/>
          <w:i/>
          <w:iCs/>
          <w:kern w:val="2"/>
          <w:sz w:val="16"/>
          <w:szCs w:val="16"/>
          <w14:ligatures w14:val="standardContextual"/>
        </w:rPr>
      </w:pPr>
      <w:r w:rsidRPr="000B220C">
        <w:rPr>
          <w:rFonts w:ascii="Times New Roman" w:hAnsi="Times New Roman" w:cs="Times New Roman"/>
          <w:i/>
          <w:iCs/>
          <w:kern w:val="2"/>
          <w:sz w:val="16"/>
          <w:szCs w:val="16"/>
          <w:lang w:val="ru-RU"/>
          <w14:ligatures w14:val="standardContextual"/>
        </w:rPr>
        <w:t>Источник</w:t>
      </w:r>
      <w:r w:rsidRPr="000B220C">
        <w:rPr>
          <w:rFonts w:ascii="Times New Roman" w:hAnsi="Times New Roman" w:cs="Times New Roman"/>
          <w:i/>
          <w:iCs/>
          <w:kern w:val="2"/>
          <w:sz w:val="16"/>
          <w:szCs w:val="16"/>
          <w14:ligatures w14:val="standardContextual"/>
        </w:rPr>
        <w:t xml:space="preserve">: Banca de date </w:t>
      </w:r>
      <w:proofErr w:type="spellStart"/>
      <w:r w:rsidRPr="000B220C">
        <w:rPr>
          <w:rFonts w:ascii="Times New Roman" w:hAnsi="Times New Roman" w:cs="Times New Roman"/>
          <w:i/>
          <w:iCs/>
          <w:kern w:val="2"/>
          <w:sz w:val="16"/>
          <w:szCs w:val="16"/>
          <w14:ligatures w14:val="standardContextual"/>
        </w:rPr>
        <w:t>statistică</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StatBank</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Ratele</w:t>
      </w:r>
      <w:proofErr w:type="spellEnd"/>
      <w:r w:rsidRPr="000B220C">
        <w:rPr>
          <w:rFonts w:ascii="Times New Roman" w:hAnsi="Times New Roman" w:cs="Times New Roman"/>
          <w:i/>
          <w:iCs/>
          <w:kern w:val="2"/>
          <w:sz w:val="16"/>
          <w:szCs w:val="16"/>
          <w14:ligatures w14:val="standardContextual"/>
        </w:rPr>
        <w:t xml:space="preserve"> de </w:t>
      </w:r>
      <w:proofErr w:type="spellStart"/>
      <w:r w:rsidRPr="000B220C">
        <w:rPr>
          <w:rFonts w:ascii="Times New Roman" w:hAnsi="Times New Roman" w:cs="Times New Roman"/>
          <w:i/>
          <w:iCs/>
          <w:kern w:val="2"/>
          <w:sz w:val="16"/>
          <w:szCs w:val="16"/>
          <w14:ligatures w14:val="standardContextual"/>
        </w:rPr>
        <w:t>activitate</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ocupare</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și</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șomaj</w:t>
      </w:r>
      <w:proofErr w:type="spellEnd"/>
      <w:r w:rsidRPr="000B220C">
        <w:rPr>
          <w:rFonts w:ascii="Times New Roman" w:hAnsi="Times New Roman" w:cs="Times New Roman"/>
          <w:i/>
          <w:iCs/>
          <w:kern w:val="2"/>
          <w:sz w:val="16"/>
          <w:szCs w:val="16"/>
          <w14:ligatures w14:val="standardContextual"/>
        </w:rPr>
        <w:t xml:space="preserve"> pe </w:t>
      </w:r>
      <w:proofErr w:type="spellStart"/>
      <w:r w:rsidRPr="000B220C">
        <w:rPr>
          <w:rFonts w:ascii="Times New Roman" w:hAnsi="Times New Roman" w:cs="Times New Roman"/>
          <w:i/>
          <w:iCs/>
          <w:kern w:val="2"/>
          <w:sz w:val="16"/>
          <w:szCs w:val="16"/>
          <w14:ligatures w14:val="standardContextual"/>
        </w:rPr>
        <w:t>regiuni</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statistice</w:t>
      </w:r>
      <w:proofErr w:type="spellEnd"/>
      <w:r w:rsidRPr="000B220C">
        <w:rPr>
          <w:rFonts w:ascii="Times New Roman" w:hAnsi="Times New Roman" w:cs="Times New Roman"/>
          <w:i/>
          <w:iCs/>
          <w:kern w:val="2"/>
          <w:sz w:val="16"/>
          <w:szCs w:val="16"/>
          <w14:ligatures w14:val="standardContextual"/>
        </w:rPr>
        <w:t>, 2020–2025 [</w:t>
      </w:r>
      <w:proofErr w:type="spellStart"/>
      <w:r w:rsidRPr="000B220C">
        <w:rPr>
          <w:rFonts w:ascii="Times New Roman" w:hAnsi="Times New Roman" w:cs="Times New Roman"/>
          <w:i/>
          <w:iCs/>
          <w:kern w:val="2"/>
          <w:sz w:val="16"/>
          <w:szCs w:val="16"/>
          <w14:ligatures w14:val="standardContextual"/>
        </w:rPr>
        <w:t>resursă</w:t>
      </w:r>
      <w:proofErr w:type="spellEnd"/>
      <w:r w:rsidRPr="000B220C">
        <w:rPr>
          <w:rFonts w:ascii="Times New Roman" w:hAnsi="Times New Roman" w:cs="Times New Roman"/>
          <w:i/>
          <w:iCs/>
          <w:kern w:val="2"/>
          <w:sz w:val="16"/>
          <w:szCs w:val="16"/>
          <w14:ligatures w14:val="standardContextual"/>
        </w:rPr>
        <w:t xml:space="preserve"> </w:t>
      </w:r>
      <w:proofErr w:type="spellStart"/>
      <w:r w:rsidRPr="000B220C">
        <w:rPr>
          <w:rFonts w:ascii="Times New Roman" w:hAnsi="Times New Roman" w:cs="Times New Roman"/>
          <w:i/>
          <w:iCs/>
          <w:kern w:val="2"/>
          <w:sz w:val="16"/>
          <w:szCs w:val="16"/>
          <w14:ligatures w14:val="standardContextual"/>
        </w:rPr>
        <w:t>electronică</w:t>
      </w:r>
      <w:proofErr w:type="spellEnd"/>
      <w:r w:rsidRPr="000B220C">
        <w:rPr>
          <w:rFonts w:ascii="Times New Roman" w:hAnsi="Times New Roman" w:cs="Times New Roman"/>
          <w:i/>
          <w:iCs/>
          <w:kern w:val="2"/>
          <w:sz w:val="16"/>
          <w:szCs w:val="16"/>
          <w14:ligatures w14:val="standardContextual"/>
        </w:rPr>
        <w:t xml:space="preserve">]. – </w:t>
      </w:r>
      <w:proofErr w:type="spellStart"/>
      <w:r w:rsidRPr="000B220C">
        <w:rPr>
          <w:rFonts w:ascii="Times New Roman" w:hAnsi="Times New Roman" w:cs="Times New Roman"/>
          <w:i/>
          <w:iCs/>
          <w:kern w:val="2"/>
          <w:sz w:val="16"/>
          <w:szCs w:val="16"/>
          <w14:ligatures w14:val="standardContextual"/>
        </w:rPr>
        <w:t>Disponibil</w:t>
      </w:r>
      <w:proofErr w:type="spellEnd"/>
      <w:r w:rsidRPr="000B220C">
        <w:rPr>
          <w:rFonts w:ascii="Times New Roman" w:hAnsi="Times New Roman" w:cs="Times New Roman"/>
          <w:i/>
          <w:iCs/>
          <w:kern w:val="2"/>
          <w:sz w:val="16"/>
          <w:szCs w:val="16"/>
          <w14:ligatures w14:val="standardContextual"/>
        </w:rPr>
        <w:t>:</w:t>
      </w:r>
    </w:p>
    <w:p w:rsidR="003F5D83" w:rsidRPr="000B220C" w:rsidRDefault="00835535" w:rsidP="003F5D83">
      <w:pPr>
        <w:spacing w:after="0" w:line="240" w:lineRule="auto"/>
        <w:ind w:right="-22"/>
        <w:jc w:val="both"/>
        <w:rPr>
          <w:rFonts w:ascii="Times New Roman" w:hAnsi="Times New Roman" w:cs="Times New Roman"/>
          <w:i/>
          <w:iCs/>
          <w:kern w:val="2"/>
          <w:sz w:val="16"/>
          <w:szCs w:val="16"/>
          <w14:ligatures w14:val="standardContextual"/>
        </w:rPr>
      </w:pPr>
      <w:hyperlink r:id="rId28" w:tgtFrame="_new" w:history="1">
        <w:r w:rsidR="003F5D83" w:rsidRPr="000B220C">
          <w:rPr>
            <w:rFonts w:ascii="Times New Roman" w:hAnsi="Times New Roman" w:cs="Times New Roman"/>
            <w:i/>
            <w:iCs/>
            <w:color w:val="0563C1" w:themeColor="hyperlink"/>
            <w:kern w:val="2"/>
            <w:sz w:val="16"/>
            <w:szCs w:val="16"/>
            <w:u w:val="single"/>
            <w14:ligatures w14:val="standardContextual"/>
          </w:rPr>
          <w:t>https://statbank.statistica.md/PxWeb/pxweb/ro/30%20Statistica%20sociala/30%20Statistica%20sociala__03%20FM__03%20MUN__MUN010/MUN111000reg.px/</w:t>
        </w:r>
      </w:hyperlink>
      <w:r w:rsidR="003F5D83" w:rsidRPr="000B220C">
        <w:rPr>
          <w:rFonts w:ascii="Times New Roman" w:hAnsi="Times New Roman" w:cs="Times New Roman"/>
          <w:i/>
          <w:iCs/>
          <w:kern w:val="2"/>
          <w:sz w:val="16"/>
          <w:szCs w:val="16"/>
          <w14:ligatures w14:val="standardContextual"/>
        </w:rPr>
        <w:t xml:space="preserve"> </w:t>
      </w:r>
    </w:p>
    <w:p w:rsidR="003F5D83"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0B220C">
        <w:rPr>
          <w:rFonts w:ascii="Times New Roman" w:hAnsi="Times New Roman" w:cs="Times New Roman"/>
          <w:i/>
          <w:iCs/>
          <w:kern w:val="2"/>
          <w:sz w:val="16"/>
          <w:szCs w:val="16"/>
          <w:lang w:val="ru-RU"/>
          <w14:ligatures w14:val="standardContextual"/>
        </w:rPr>
        <w:t xml:space="preserve">*Примечание: по состоянию на дату обращения официальные статистические данные за отдельно по РР АТО Гагаузия в базе </w:t>
      </w:r>
      <w:proofErr w:type="spellStart"/>
      <w:r w:rsidRPr="000B220C">
        <w:rPr>
          <w:rFonts w:ascii="Times New Roman" w:hAnsi="Times New Roman" w:cs="Times New Roman"/>
          <w:i/>
          <w:iCs/>
          <w:kern w:val="2"/>
          <w:sz w:val="16"/>
          <w:szCs w:val="16"/>
          <w14:ligatures w14:val="standardContextual"/>
        </w:rPr>
        <w:t>StatBank</w:t>
      </w:r>
      <w:proofErr w:type="spellEnd"/>
      <w:r w:rsidRPr="000B220C">
        <w:rPr>
          <w:rFonts w:ascii="Times New Roman" w:hAnsi="Times New Roman" w:cs="Times New Roman"/>
          <w:i/>
          <w:iCs/>
          <w:kern w:val="2"/>
          <w:sz w:val="16"/>
          <w:szCs w:val="16"/>
          <w:lang w:val="ru-RU"/>
          <w14:ligatures w14:val="standardContextual"/>
        </w:rPr>
        <w:t xml:space="preserve"> отсутствуют.</w:t>
      </w:r>
    </w:p>
    <w:p w:rsidR="006472C4" w:rsidRDefault="006472C4" w:rsidP="003F5D83">
      <w:pPr>
        <w:spacing w:after="0" w:line="240" w:lineRule="auto"/>
        <w:ind w:right="-22" w:firstLine="709"/>
        <w:jc w:val="both"/>
        <w:rPr>
          <w:rFonts w:ascii="Times New Roman" w:eastAsia="Times New Roman" w:hAnsi="Times New Roman" w:cs="Times New Roman"/>
          <w:sz w:val="24"/>
          <w:szCs w:val="24"/>
          <w:lang w:val="ru-RU"/>
        </w:rPr>
      </w:pPr>
    </w:p>
    <w:p w:rsidR="003F5D83" w:rsidRPr="00C17AFD" w:rsidRDefault="003F5D83" w:rsidP="003F5D83">
      <w:pPr>
        <w:spacing w:after="0" w:line="240" w:lineRule="auto"/>
        <w:ind w:right="-22" w:firstLine="709"/>
        <w:jc w:val="both"/>
        <w:rPr>
          <w:rFonts w:ascii="Times New Roman" w:hAnsi="Times New Roman" w:cs="Times New Roman"/>
          <w:i/>
          <w:iCs/>
          <w:kern w:val="2"/>
          <w:sz w:val="16"/>
          <w:szCs w:val="16"/>
          <w:lang w:val="ru-RU"/>
          <w14:ligatures w14:val="standardContextual"/>
        </w:rPr>
      </w:pPr>
      <w:r w:rsidRPr="00571C61">
        <w:rPr>
          <w:rFonts w:ascii="Times New Roman" w:eastAsia="Times New Roman" w:hAnsi="Times New Roman" w:cs="Times New Roman"/>
          <w:sz w:val="24"/>
          <w:szCs w:val="24"/>
          <w:lang w:val="ru-RU"/>
        </w:rPr>
        <w:t>Анализ данных показывает, что в 2021–2025 гг. уровень экономической активности населения в Республике Молдова характеризуется нестабильной динамикой. После роста с 41,1% в 2021 г. до 45,1% в 2023 г. наблюдается снижение до 41,8% в 2025 г. Аналогичная тенденция прослеживается и по уровню занятости: увеличение до 43,1% в 2023 г. сменяется сокращением до 40,2% в 2025 г. Уровень безработицы, напротив, после роста в 2023 г. (4,6%) постепенно снижается до 3,8% в 2025 г., что свидетельствует о частичной стабилизации ситуации на рынке труда.</w:t>
      </w:r>
    </w:p>
    <w:p w:rsidR="003F5D83" w:rsidRPr="00571C61"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t>Наиболее высокие значения показателей традиционно фиксируются в муниципии Кишинёв. В 2024 г. уровень экономической активности достиг 52,7%, а занятости — 50,8%, что существенно превышает среднереспубликанский уровень. Однако в 2025 г. наблюдается некоторое снижение данных показателей (до 50,8% и 48,5% соответственно) при одновременном росте уровня безработицы до 4,4%, что может свидетельствовать о замедлении темпов роста занятости в столичном регионе.</w:t>
      </w:r>
    </w:p>
    <w:p w:rsidR="003F5D83" w:rsidRPr="00571C61"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lastRenderedPageBreak/>
        <w:t>Северный регион в 2021–2023 гг. демонстрирует положительную динамику, однако в 2024–2025 гг. отмечается заметное ухудшение ситуации: уровень экономической активности снижается до 42,1%, занятости — до 40,0%, а безработицы возрастает до 5,0%. Это указывает на усиление напряжённости на рынке труда региона.</w:t>
      </w:r>
    </w:p>
    <w:p w:rsidR="003F5D83" w:rsidRPr="00571C61"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t>В регионе Центр также наблюдаются колебания показателей: после роста в 2023 г. (уровень активности — 40,1%, занятости — 38,2%) происходит снижение в 2024–2025 гг. Несмотря на это, уровень безработицы в регионе остаётся сравнительно невысоким и в 2025 г. составляет 3,0%.</w:t>
      </w:r>
    </w:p>
    <w:p w:rsidR="003F5D83" w:rsidRPr="00571C61"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t>Особое внимание следует уделить региону Юг и АТО Гагаузия, которые в данной статистике представлены совместно. В 2023 г. здесь наблюдается существенный рост уровня экономической активности (до 37,6%) и занятости (до 35,8%), однако в последующие годы показатели несколько снижаются. При этом в 2025 г. фиксируется резкое снижение уровня безработицы до 1,9%, что является наименьшим значением среди всех регионов. Это может свидетельствовать как об улучшении ситуации на рынке труда, так и о возможных структурных особенностях, включая ограниченное предложение рабочей силы или миграционные процессы.</w:t>
      </w:r>
    </w:p>
    <w:p w:rsidR="003F5D83" w:rsidRPr="00E223F6" w:rsidRDefault="003F5D83" w:rsidP="003F5D83">
      <w:pPr>
        <w:spacing w:after="0" w:line="240" w:lineRule="auto"/>
        <w:ind w:firstLine="709"/>
        <w:jc w:val="both"/>
        <w:rPr>
          <w:rFonts w:ascii="Times New Roman" w:eastAsia="Times New Roman" w:hAnsi="Times New Roman" w:cs="Times New Roman"/>
          <w:sz w:val="24"/>
          <w:szCs w:val="24"/>
          <w:lang w:val="ru-RU"/>
        </w:rPr>
      </w:pPr>
      <w:r w:rsidRPr="00571C61">
        <w:rPr>
          <w:rFonts w:ascii="Times New Roman" w:eastAsia="Times New Roman" w:hAnsi="Times New Roman" w:cs="Times New Roman"/>
          <w:sz w:val="24"/>
          <w:szCs w:val="24"/>
          <w:lang w:val="ru-RU"/>
        </w:rPr>
        <w:t>Таким образом, в 2021–2025 гг. рынок труда Республики Молдова характеризуется волнообразной динамикой с пиковыми значениями в 2023 году и последующим снижением активности и занятости. Региональные различия сохраняются: Кишинёв остаётся лидером, Север демонстрирует ухудшение ситуации, Центр — относительную стабильность, а Юг и АТО Гагаузия — более низкие уровни экономической активности при отдельных позитивных сдвигах, в частности по снижению безработицы.</w:t>
      </w:r>
    </w:p>
    <w:p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Важным показателем, характеризующим демографическую структуру населения и уровень нагрузки на экономически активную часть общества, является коэффициент демографической нагрузки (соотношение трудоспособного и нетрудоспособного населения — детей и пожилых). Его динамика в региональном разрезе представлена в таблиц</w:t>
      </w:r>
      <w:r>
        <w:rPr>
          <w:rFonts w:ascii="Times New Roman" w:hAnsi="Times New Roman" w:cs="Times New Roman"/>
          <w:kern w:val="2"/>
          <w:sz w:val="24"/>
          <w:szCs w:val="24"/>
          <w:lang w:val="ru-RU"/>
          <w14:ligatures w14:val="standardContextual"/>
        </w:rPr>
        <w:t>е 2.10.</w:t>
      </w:r>
    </w:p>
    <w:p w:rsidR="006472C4" w:rsidRDefault="006472C4" w:rsidP="003F5D83">
      <w:pPr>
        <w:spacing w:after="0" w:line="240" w:lineRule="auto"/>
        <w:jc w:val="center"/>
        <w:rPr>
          <w:rFonts w:ascii="Times New Roman" w:hAnsi="Times New Roman" w:cs="Times New Roman"/>
          <w:b/>
          <w:bCs/>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22693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2.10.</w:t>
      </w:r>
      <w:r w:rsidRPr="00226936">
        <w:rPr>
          <w:rFonts w:ascii="Times New Roman" w:hAnsi="Times New Roman" w:cs="Times New Roman"/>
          <w:b/>
          <w:bCs/>
          <w:kern w:val="2"/>
          <w:sz w:val="24"/>
          <w:szCs w:val="24"/>
          <w:lang w:val="ru-RU"/>
          <w14:ligatures w14:val="standardContextual"/>
        </w:rPr>
        <w:t xml:space="preserve"> Динамика коэффициента демографической нагрузки по регионам развития Республики Молдова в 20</w:t>
      </w:r>
      <w:r>
        <w:rPr>
          <w:rFonts w:ascii="Times New Roman" w:hAnsi="Times New Roman" w:cs="Times New Roman"/>
          <w:b/>
          <w:bCs/>
          <w:kern w:val="2"/>
          <w:sz w:val="24"/>
          <w:szCs w:val="24"/>
          <w:lang w:val="ru-RU"/>
          <w14:ligatures w14:val="standardContextual"/>
        </w:rPr>
        <w:t>21</w:t>
      </w:r>
      <w:r w:rsidRPr="00226936">
        <w:rPr>
          <w:rFonts w:ascii="Times New Roman" w:hAnsi="Times New Roman" w:cs="Times New Roman"/>
          <w:b/>
          <w:bCs/>
          <w:kern w:val="2"/>
          <w:sz w:val="24"/>
          <w:szCs w:val="24"/>
          <w:lang w:val="ru-RU"/>
          <w14:ligatures w14:val="standardContextual"/>
        </w:rPr>
        <w:t>–202</w:t>
      </w:r>
      <w:r>
        <w:rPr>
          <w:rFonts w:ascii="Times New Roman" w:hAnsi="Times New Roman" w:cs="Times New Roman"/>
          <w:b/>
          <w:bCs/>
          <w:kern w:val="2"/>
          <w:sz w:val="24"/>
          <w:szCs w:val="24"/>
          <w:lang w:val="ru-RU"/>
          <w14:ligatures w14:val="standardContextual"/>
        </w:rPr>
        <w:t>5</w:t>
      </w:r>
      <w:r w:rsidRPr="00226936">
        <w:rPr>
          <w:rFonts w:ascii="Times New Roman" w:hAnsi="Times New Roman" w:cs="Times New Roman"/>
          <w:b/>
          <w:bCs/>
          <w:kern w:val="2"/>
          <w:sz w:val="24"/>
          <w:szCs w:val="24"/>
          <w:lang w:val="ru-RU"/>
          <w14:ligatures w14:val="standardContextual"/>
        </w:rPr>
        <w:t>гг.</w:t>
      </w:r>
    </w:p>
    <w:p w:rsidR="006472C4" w:rsidRPr="00226936" w:rsidRDefault="006472C4"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1276"/>
        <w:gridCol w:w="1276"/>
        <w:gridCol w:w="1559"/>
        <w:gridCol w:w="1276"/>
      </w:tblGrid>
      <w:tr w:rsidR="003F5D83" w:rsidRPr="00190E8C" w:rsidTr="006472C4">
        <w:trPr>
          <w:trHeight w:val="291"/>
        </w:trPr>
        <w:tc>
          <w:tcPr>
            <w:tcW w:w="2547" w:type="dxa"/>
          </w:tcPr>
          <w:p w:rsidR="003F5D83" w:rsidRPr="00190E8C" w:rsidRDefault="003F5D83" w:rsidP="003F5D83">
            <w:pPr>
              <w:jc w:val="both"/>
              <w:rPr>
                <w:rFonts w:ascii="Times New Roman" w:hAnsi="Times New Roman" w:cs="Times New Roman"/>
                <w:b/>
                <w:bCs/>
                <w:kern w:val="2"/>
                <w:sz w:val="24"/>
                <w:szCs w:val="24"/>
                <w14:ligatures w14:val="standardContextual"/>
              </w:rPr>
            </w:pPr>
            <w:proofErr w:type="spellStart"/>
            <w:r w:rsidRPr="00226936">
              <w:rPr>
                <w:rFonts w:ascii="Times New Roman" w:hAnsi="Times New Roman" w:cs="Times New Roman"/>
                <w:b/>
                <w:bCs/>
                <w:kern w:val="2"/>
                <w:sz w:val="24"/>
                <w:szCs w:val="24"/>
                <w14:ligatures w14:val="standardContextual"/>
              </w:rPr>
              <w:t>Регион</w:t>
            </w:r>
            <w:proofErr w:type="spellEnd"/>
          </w:p>
        </w:tc>
        <w:tc>
          <w:tcPr>
            <w:tcW w:w="1417" w:type="dxa"/>
            <w:hideMark/>
          </w:tcPr>
          <w:p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2021</w:t>
            </w:r>
          </w:p>
        </w:tc>
        <w:tc>
          <w:tcPr>
            <w:tcW w:w="1276" w:type="dxa"/>
            <w:hideMark/>
          </w:tcPr>
          <w:p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2022</w:t>
            </w:r>
          </w:p>
        </w:tc>
        <w:tc>
          <w:tcPr>
            <w:tcW w:w="1276" w:type="dxa"/>
            <w:hideMark/>
          </w:tcPr>
          <w:p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2023</w:t>
            </w:r>
          </w:p>
        </w:tc>
        <w:tc>
          <w:tcPr>
            <w:tcW w:w="1559" w:type="dxa"/>
            <w:hideMark/>
          </w:tcPr>
          <w:p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2024</w:t>
            </w:r>
          </w:p>
        </w:tc>
        <w:tc>
          <w:tcPr>
            <w:tcW w:w="1276" w:type="dxa"/>
            <w:hideMark/>
          </w:tcPr>
          <w:p w:rsidR="003F5D83" w:rsidRPr="00190E8C" w:rsidRDefault="003F5D83" w:rsidP="006472C4">
            <w:pPr>
              <w:rPr>
                <w:rFonts w:ascii="Times New Roman" w:hAnsi="Times New Roman" w:cs="Times New Roman"/>
                <w:b/>
                <w:bCs/>
                <w:kern w:val="2"/>
                <w:sz w:val="24"/>
                <w:szCs w:val="24"/>
                <w14:ligatures w14:val="standardContextual"/>
              </w:rPr>
            </w:pPr>
            <w:r w:rsidRPr="00190E8C">
              <w:rPr>
                <w:rFonts w:ascii="Times New Roman" w:hAnsi="Times New Roman" w:cs="Times New Roman"/>
                <w:b/>
                <w:bCs/>
                <w:kern w:val="2"/>
                <w:sz w:val="24"/>
                <w:szCs w:val="24"/>
                <w14:ligatures w14:val="standardContextual"/>
              </w:rPr>
              <w:t>2025</w:t>
            </w:r>
          </w:p>
        </w:tc>
      </w:tr>
      <w:tr w:rsidR="003F5D83" w:rsidRPr="00190E8C" w:rsidTr="006472C4">
        <w:trPr>
          <w:trHeight w:val="291"/>
        </w:trPr>
        <w:tc>
          <w:tcPr>
            <w:tcW w:w="2547" w:type="dxa"/>
            <w:vAlign w:val="center"/>
          </w:tcPr>
          <w:p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lang w:val="ru-RU"/>
                <w14:ligatures w14:val="standardContextual"/>
              </w:rPr>
              <w:t xml:space="preserve">В среднем по стране </w:t>
            </w:r>
          </w:p>
        </w:tc>
        <w:tc>
          <w:tcPr>
            <w:tcW w:w="1417"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49,6</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50,6</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52,0</w:t>
            </w:r>
          </w:p>
        </w:tc>
        <w:tc>
          <w:tcPr>
            <w:tcW w:w="1559"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53,5</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54,8</w:t>
            </w:r>
          </w:p>
        </w:tc>
      </w:tr>
      <w:tr w:rsidR="003F5D83" w:rsidRPr="00190E8C" w:rsidTr="006472C4">
        <w:trPr>
          <w:trHeight w:val="280"/>
        </w:trPr>
        <w:tc>
          <w:tcPr>
            <w:tcW w:w="2547" w:type="dxa"/>
            <w:vAlign w:val="center"/>
          </w:tcPr>
          <w:p w:rsidR="003F5D83" w:rsidRPr="00190E8C" w:rsidRDefault="006472C4" w:rsidP="00BD6565">
            <w:pPr>
              <w:spacing w:after="0"/>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 xml:space="preserve">РР </w:t>
            </w:r>
            <w:proofErr w:type="spellStart"/>
            <w:r>
              <w:rPr>
                <w:rFonts w:ascii="Times New Roman" w:hAnsi="Times New Roman" w:cs="Times New Roman"/>
                <w:kern w:val="2"/>
                <w:sz w:val="24"/>
                <w:szCs w:val="24"/>
                <w14:ligatures w14:val="standardContextual"/>
              </w:rPr>
              <w:t>Кишин</w:t>
            </w:r>
            <w:proofErr w:type="spellEnd"/>
            <w:r>
              <w:rPr>
                <w:rFonts w:ascii="Times New Roman" w:hAnsi="Times New Roman" w:cs="Times New Roman"/>
                <w:kern w:val="2"/>
                <w:sz w:val="24"/>
                <w:szCs w:val="24"/>
                <w:lang w:val="ru-RU"/>
                <w14:ligatures w14:val="standardContextual"/>
              </w:rPr>
              <w:t>ё</w:t>
            </w:r>
            <w:r w:rsidR="003F5D83" w:rsidRPr="00226936">
              <w:rPr>
                <w:rFonts w:ascii="Times New Roman" w:hAnsi="Times New Roman" w:cs="Times New Roman"/>
                <w:kern w:val="2"/>
                <w:sz w:val="24"/>
                <w:szCs w:val="24"/>
                <w14:ligatures w14:val="standardContextual"/>
              </w:rPr>
              <w:t>в</w:t>
            </w:r>
          </w:p>
        </w:tc>
        <w:tc>
          <w:tcPr>
            <w:tcW w:w="1417"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45,2</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45,7</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46,2</w:t>
            </w:r>
          </w:p>
        </w:tc>
        <w:tc>
          <w:tcPr>
            <w:tcW w:w="1559"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46,6</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46,7</w:t>
            </w:r>
          </w:p>
        </w:tc>
      </w:tr>
      <w:tr w:rsidR="003F5D83" w:rsidRPr="00190E8C" w:rsidTr="006472C4">
        <w:trPr>
          <w:trHeight w:val="291"/>
        </w:trPr>
        <w:tc>
          <w:tcPr>
            <w:tcW w:w="2547" w:type="dxa"/>
            <w:vAlign w:val="center"/>
          </w:tcPr>
          <w:p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Север</w:t>
            </w:r>
            <w:proofErr w:type="spellEnd"/>
          </w:p>
        </w:tc>
        <w:tc>
          <w:tcPr>
            <w:tcW w:w="1417"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50,5</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51,3</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52,5</w:t>
            </w:r>
          </w:p>
        </w:tc>
        <w:tc>
          <w:tcPr>
            <w:tcW w:w="1559"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54,2</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56,0</w:t>
            </w:r>
          </w:p>
        </w:tc>
      </w:tr>
      <w:tr w:rsidR="003F5D83" w:rsidRPr="00190E8C" w:rsidTr="006472C4">
        <w:trPr>
          <w:trHeight w:val="291"/>
        </w:trPr>
        <w:tc>
          <w:tcPr>
            <w:tcW w:w="2547" w:type="dxa"/>
            <w:vAlign w:val="center"/>
          </w:tcPr>
          <w:p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Центр</w:t>
            </w:r>
            <w:proofErr w:type="spellEnd"/>
          </w:p>
        </w:tc>
        <w:tc>
          <w:tcPr>
            <w:tcW w:w="1417"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51,5</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52,9</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55,0</w:t>
            </w:r>
          </w:p>
        </w:tc>
        <w:tc>
          <w:tcPr>
            <w:tcW w:w="1559"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57,4</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59,2</w:t>
            </w:r>
          </w:p>
        </w:tc>
      </w:tr>
      <w:tr w:rsidR="003F5D83" w:rsidRPr="00190E8C" w:rsidTr="006472C4">
        <w:trPr>
          <w:trHeight w:val="291"/>
        </w:trPr>
        <w:tc>
          <w:tcPr>
            <w:tcW w:w="2547" w:type="dxa"/>
            <w:vAlign w:val="center"/>
          </w:tcPr>
          <w:p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Юг</w:t>
            </w:r>
            <w:proofErr w:type="spellEnd"/>
          </w:p>
        </w:tc>
        <w:tc>
          <w:tcPr>
            <w:tcW w:w="1417"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51,6</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53,0</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55,2</w:t>
            </w:r>
          </w:p>
        </w:tc>
        <w:tc>
          <w:tcPr>
            <w:tcW w:w="1559"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57,6</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59,6</w:t>
            </w:r>
          </w:p>
        </w:tc>
      </w:tr>
      <w:tr w:rsidR="003F5D83" w:rsidRPr="00190E8C" w:rsidTr="006472C4">
        <w:trPr>
          <w:trHeight w:val="291"/>
        </w:trPr>
        <w:tc>
          <w:tcPr>
            <w:tcW w:w="2547" w:type="dxa"/>
            <w:vAlign w:val="center"/>
          </w:tcPr>
          <w:p w:rsidR="003F5D83" w:rsidRPr="00190E8C"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АТО </w:t>
            </w:r>
            <w:proofErr w:type="spellStart"/>
            <w:r w:rsidRPr="00226936">
              <w:rPr>
                <w:rFonts w:ascii="Times New Roman" w:hAnsi="Times New Roman" w:cs="Times New Roman"/>
                <w:kern w:val="2"/>
                <w:sz w:val="24"/>
                <w:szCs w:val="24"/>
                <w14:ligatures w14:val="standardContextual"/>
              </w:rPr>
              <w:t>Гагаузия</w:t>
            </w:r>
            <w:proofErr w:type="spellEnd"/>
          </w:p>
        </w:tc>
        <w:tc>
          <w:tcPr>
            <w:tcW w:w="1417"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51,9</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53,8</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56,2</w:t>
            </w:r>
          </w:p>
        </w:tc>
        <w:tc>
          <w:tcPr>
            <w:tcW w:w="1559"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58,5</w:t>
            </w:r>
          </w:p>
        </w:tc>
        <w:tc>
          <w:tcPr>
            <w:tcW w:w="1276" w:type="dxa"/>
            <w:noWrap/>
            <w:vAlign w:val="center"/>
            <w:hideMark/>
          </w:tcPr>
          <w:p w:rsidR="003F5D83" w:rsidRPr="00190E8C" w:rsidRDefault="003F5D83" w:rsidP="00BD6565">
            <w:pPr>
              <w:spacing w:after="0"/>
              <w:jc w:val="right"/>
              <w:rPr>
                <w:rFonts w:ascii="Times New Roman" w:hAnsi="Times New Roman" w:cs="Times New Roman"/>
                <w:kern w:val="2"/>
                <w:sz w:val="24"/>
                <w:szCs w:val="24"/>
                <w14:ligatures w14:val="standardContextual"/>
              </w:rPr>
            </w:pPr>
            <w:r w:rsidRPr="00190E8C">
              <w:rPr>
                <w:rFonts w:ascii="Times New Roman" w:hAnsi="Times New Roman" w:cs="Times New Roman"/>
                <w:kern w:val="2"/>
                <w:sz w:val="24"/>
                <w:szCs w:val="24"/>
                <w14:ligatures w14:val="standardContextual"/>
              </w:rPr>
              <w:t>59,9</w:t>
            </w:r>
          </w:p>
        </w:tc>
      </w:tr>
    </w:tbl>
    <w:p w:rsidR="003F5D83" w:rsidRPr="00844D3E"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844D3E">
        <w:rPr>
          <w:rFonts w:ascii="Times New Roman" w:hAnsi="Times New Roman" w:cs="Times New Roman"/>
          <w:i/>
          <w:iCs/>
          <w:kern w:val="2"/>
          <w:sz w:val="16"/>
          <w:szCs w:val="16"/>
          <w14:ligatures w14:val="standardContextual"/>
        </w:rPr>
        <w:t>Источник</w:t>
      </w:r>
      <w:proofErr w:type="spellEnd"/>
      <w:r w:rsidRPr="00844D3E">
        <w:rPr>
          <w:rFonts w:ascii="Times New Roman" w:hAnsi="Times New Roman" w:cs="Times New Roman"/>
          <w:i/>
          <w:iCs/>
          <w:kern w:val="2"/>
          <w:sz w:val="16"/>
          <w:szCs w:val="16"/>
          <w14:ligatures w14:val="standardContextual"/>
        </w:rPr>
        <w:t xml:space="preserve">: Banca de date </w:t>
      </w:r>
      <w:proofErr w:type="spellStart"/>
      <w:r w:rsidRPr="00844D3E">
        <w:rPr>
          <w:rFonts w:ascii="Times New Roman" w:hAnsi="Times New Roman" w:cs="Times New Roman"/>
          <w:i/>
          <w:iCs/>
          <w:kern w:val="2"/>
          <w:sz w:val="16"/>
          <w:szCs w:val="16"/>
          <w14:ligatures w14:val="standardContextual"/>
        </w:rPr>
        <w:t>statistică</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StatBank</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Indicii</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sarcinii</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demografice</w:t>
      </w:r>
      <w:proofErr w:type="spellEnd"/>
      <w:r w:rsidRPr="00844D3E">
        <w:rPr>
          <w:rFonts w:ascii="Times New Roman" w:hAnsi="Times New Roman" w:cs="Times New Roman"/>
          <w:i/>
          <w:iCs/>
          <w:kern w:val="2"/>
          <w:sz w:val="16"/>
          <w:szCs w:val="16"/>
          <w14:ligatures w14:val="standardContextual"/>
        </w:rPr>
        <w:t xml:space="preserve">, la </w:t>
      </w:r>
      <w:proofErr w:type="spellStart"/>
      <w:r w:rsidRPr="00844D3E">
        <w:rPr>
          <w:rFonts w:ascii="Times New Roman" w:hAnsi="Times New Roman" w:cs="Times New Roman"/>
          <w:i/>
          <w:iCs/>
          <w:kern w:val="2"/>
          <w:sz w:val="16"/>
          <w:szCs w:val="16"/>
          <w14:ligatures w14:val="standardContextual"/>
        </w:rPr>
        <w:t>începutul</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anului</w:t>
      </w:r>
      <w:proofErr w:type="spellEnd"/>
      <w:r w:rsidRPr="00844D3E">
        <w:rPr>
          <w:rFonts w:ascii="Times New Roman" w:hAnsi="Times New Roman" w:cs="Times New Roman"/>
          <w:i/>
          <w:iCs/>
          <w:kern w:val="2"/>
          <w:sz w:val="16"/>
          <w:szCs w:val="16"/>
          <w14:ligatures w14:val="standardContextual"/>
        </w:rPr>
        <w:t xml:space="preserve">, pe </w:t>
      </w:r>
      <w:proofErr w:type="spellStart"/>
      <w:r w:rsidRPr="00844D3E">
        <w:rPr>
          <w:rFonts w:ascii="Times New Roman" w:hAnsi="Times New Roman" w:cs="Times New Roman"/>
          <w:i/>
          <w:iCs/>
          <w:kern w:val="2"/>
          <w:sz w:val="16"/>
          <w:szCs w:val="16"/>
          <w14:ligatures w14:val="standardContextual"/>
        </w:rPr>
        <w:t>regiuni</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și</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raioane</w:t>
      </w:r>
      <w:proofErr w:type="spellEnd"/>
      <w:r w:rsidRPr="00844D3E">
        <w:rPr>
          <w:rFonts w:ascii="Times New Roman" w:hAnsi="Times New Roman" w:cs="Times New Roman"/>
          <w:i/>
          <w:iCs/>
          <w:kern w:val="2"/>
          <w:sz w:val="16"/>
          <w:szCs w:val="16"/>
          <w14:ligatures w14:val="standardContextual"/>
        </w:rPr>
        <w:t>, 2007–2025 [</w:t>
      </w:r>
      <w:proofErr w:type="spellStart"/>
      <w:r w:rsidRPr="00844D3E">
        <w:rPr>
          <w:rFonts w:ascii="Times New Roman" w:hAnsi="Times New Roman" w:cs="Times New Roman"/>
          <w:i/>
          <w:iCs/>
          <w:kern w:val="2"/>
          <w:sz w:val="16"/>
          <w:szCs w:val="16"/>
          <w14:ligatures w14:val="standardContextual"/>
        </w:rPr>
        <w:t>resursă</w:t>
      </w:r>
      <w:proofErr w:type="spellEnd"/>
      <w:r w:rsidRPr="00844D3E">
        <w:rPr>
          <w:rFonts w:ascii="Times New Roman" w:hAnsi="Times New Roman" w:cs="Times New Roman"/>
          <w:i/>
          <w:iCs/>
          <w:kern w:val="2"/>
          <w:sz w:val="16"/>
          <w:szCs w:val="16"/>
          <w14:ligatures w14:val="standardContextual"/>
        </w:rPr>
        <w:t xml:space="preserve"> </w:t>
      </w:r>
      <w:proofErr w:type="spellStart"/>
      <w:r w:rsidRPr="00844D3E">
        <w:rPr>
          <w:rFonts w:ascii="Times New Roman" w:hAnsi="Times New Roman" w:cs="Times New Roman"/>
          <w:i/>
          <w:iCs/>
          <w:kern w:val="2"/>
          <w:sz w:val="16"/>
          <w:szCs w:val="16"/>
          <w14:ligatures w14:val="standardContextual"/>
        </w:rPr>
        <w:t>electronică</w:t>
      </w:r>
      <w:proofErr w:type="spellEnd"/>
      <w:r w:rsidRPr="00844D3E">
        <w:rPr>
          <w:rFonts w:ascii="Times New Roman" w:hAnsi="Times New Roman" w:cs="Times New Roman"/>
          <w:i/>
          <w:iCs/>
          <w:kern w:val="2"/>
          <w:sz w:val="16"/>
          <w:szCs w:val="16"/>
          <w14:ligatures w14:val="standardContextual"/>
        </w:rPr>
        <w:t xml:space="preserve">]. – </w:t>
      </w:r>
      <w:proofErr w:type="spellStart"/>
      <w:r w:rsidRPr="00844D3E">
        <w:rPr>
          <w:rFonts w:ascii="Times New Roman" w:hAnsi="Times New Roman" w:cs="Times New Roman"/>
          <w:i/>
          <w:iCs/>
          <w:kern w:val="2"/>
          <w:sz w:val="16"/>
          <w:szCs w:val="16"/>
          <w14:ligatures w14:val="standardContextual"/>
        </w:rPr>
        <w:t>Disponibil</w:t>
      </w:r>
      <w:proofErr w:type="spellEnd"/>
      <w:r w:rsidRPr="00844D3E">
        <w:rPr>
          <w:rFonts w:ascii="Times New Roman" w:hAnsi="Times New Roman" w:cs="Times New Roman"/>
          <w:i/>
          <w:iCs/>
          <w:kern w:val="2"/>
          <w:sz w:val="16"/>
          <w:szCs w:val="16"/>
          <w14:ligatures w14:val="standardContextual"/>
        </w:rPr>
        <w:t>:</w:t>
      </w:r>
    </w:p>
    <w:p w:rsidR="003F5D83" w:rsidRPr="00844D3E" w:rsidRDefault="00835535" w:rsidP="003F5D83">
      <w:pPr>
        <w:spacing w:after="0" w:line="240" w:lineRule="auto"/>
        <w:ind w:right="-22"/>
        <w:jc w:val="both"/>
        <w:rPr>
          <w:rFonts w:ascii="Times New Roman" w:hAnsi="Times New Roman" w:cs="Times New Roman"/>
          <w:i/>
          <w:iCs/>
          <w:color w:val="0563C1" w:themeColor="hyperlink"/>
          <w:kern w:val="2"/>
          <w:sz w:val="16"/>
          <w:szCs w:val="16"/>
          <w:u w:val="single"/>
          <w14:ligatures w14:val="standardContextual"/>
        </w:rPr>
      </w:pPr>
      <w:hyperlink r:id="rId29" w:tgtFrame="_new" w:history="1">
        <w:r w:rsidR="003F5D83" w:rsidRPr="00844D3E">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https://statbank.statistica.md/PxWeb/pxweb/ro/60%20Statistica%20regionala/60%20Statistica%20regionala__02%20POP/POP021300reg.px/</w:t>
        </w:r>
      </w:hyperlink>
    </w:p>
    <w:p w:rsidR="006472C4" w:rsidRPr="00DE7084" w:rsidRDefault="006472C4" w:rsidP="003F5D83">
      <w:pPr>
        <w:spacing w:after="0" w:line="240" w:lineRule="auto"/>
        <w:ind w:firstLine="709"/>
        <w:jc w:val="both"/>
        <w:rPr>
          <w:rFonts w:ascii="Times New Roman" w:hAnsi="Times New Roman" w:cs="Times New Roman"/>
          <w:kern w:val="2"/>
          <w:sz w:val="24"/>
          <w:szCs w:val="24"/>
          <w14:ligatures w14:val="standardContextual"/>
        </w:rPr>
      </w:pPr>
    </w:p>
    <w:p w:rsidR="003F5D83" w:rsidRPr="00E223F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223F6">
        <w:rPr>
          <w:rFonts w:ascii="Times New Roman" w:hAnsi="Times New Roman" w:cs="Times New Roman"/>
          <w:kern w:val="2"/>
          <w:sz w:val="24"/>
          <w:szCs w:val="24"/>
          <w:lang w:val="ru-RU"/>
          <w14:ligatures w14:val="standardContextual"/>
        </w:rPr>
        <w:t>Коэффициент демографической нагрузки имеет положительную динамику как в целом по Республике Молдова, так и во всех регионах в период 2021–2025 гг. В среднем по стране данный показатель увеличился с 49,6 до 54,8, то есть на 5,2 пункта или примерно на 10,5%, что свидетельствует о росте нагрузки на трудоспособное население.</w:t>
      </w:r>
    </w:p>
    <w:p w:rsidR="003F5D83" w:rsidRPr="00E223F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223F6">
        <w:rPr>
          <w:rFonts w:ascii="Times New Roman" w:hAnsi="Times New Roman" w:cs="Times New Roman"/>
          <w:kern w:val="2"/>
          <w:sz w:val="24"/>
          <w:szCs w:val="24"/>
          <w:lang w:val="ru-RU"/>
          <w14:ligatures w14:val="standardContextual"/>
        </w:rPr>
        <w:t>Наиболее низкий уровень демографической нагрузки по-прежнему наблюдается в муниципии Кишинёв, где показатель увеличился с 45,2 до 46,7 (на 1,5 пункта или около 3,3%), оставаясь ниже среднереспубликанского уровня. Это объясняется более высокой концентрацией трудоспособного населения и более благоприятной демографической структурой.</w:t>
      </w:r>
    </w:p>
    <w:p w:rsidR="003F5D83" w:rsidRPr="00E223F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223F6">
        <w:rPr>
          <w:rFonts w:ascii="Times New Roman" w:hAnsi="Times New Roman" w:cs="Times New Roman"/>
          <w:kern w:val="2"/>
          <w:sz w:val="24"/>
          <w:szCs w:val="24"/>
          <w:lang w:val="ru-RU"/>
          <w14:ligatures w14:val="standardContextual"/>
        </w:rPr>
        <w:lastRenderedPageBreak/>
        <w:t>В северном регионе показатель увеличился с 50,5 до 56,0 (на 5,5 пункта или около 10,9%), в центральном — с 51,5 до 59,2 (на 7,7 пункта или примерно 15,0%), а в южном — с 51,6 до 59,6 (на 8,0 пункта или около 15,5%). Это указывает на усиление демографической нагрузки и ухудшение возрастной структуры населения в данных регионах.</w:t>
      </w:r>
    </w:p>
    <w:p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E223F6">
        <w:rPr>
          <w:rFonts w:ascii="Times New Roman" w:hAnsi="Times New Roman" w:cs="Times New Roman"/>
          <w:kern w:val="2"/>
          <w:sz w:val="24"/>
          <w:szCs w:val="24"/>
          <w:lang w:val="ru-RU"/>
          <w14:ligatures w14:val="standardContextual"/>
        </w:rPr>
        <w:t>Наиболее напряжённая ситуация сохраняется в АТО Гагаузия, где коэффициент демографической нагрузки увеличился с 51,9 в 2021 г. до 59,9 в 2025 г., то есть на 8,0 пункта или примерно на 15,4%, что является одним из самых высоких показателей среди всех регионов. Это означает, что на каждые 100 человек трудоспособного населения приходится уже около 60 нетрудоспособных, что существенно ограничивает трудовой потенциал региона. Такая ситуация усиливает давление на экономически активное население, снижает возможности рынка труда и требует реализации мер по поддержке демографического баланса и стимулированию занятости.</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 условиях высокой демографической нагрузки уровень заработной платы становится ключевым индикатором, отражающим реальное состояние экономики и качество жизни населения (та</w:t>
      </w:r>
      <w:r>
        <w:rPr>
          <w:rFonts w:ascii="Times New Roman" w:hAnsi="Times New Roman" w:cs="Times New Roman"/>
          <w:kern w:val="2"/>
          <w:sz w:val="24"/>
          <w:szCs w:val="24"/>
          <w:lang w:val="ru-RU"/>
          <w14:ligatures w14:val="standardContextual"/>
        </w:rPr>
        <w:t>блица 2.11</w:t>
      </w:r>
      <w:r w:rsidRPr="00D749EC">
        <w:rPr>
          <w:rFonts w:ascii="Times New Roman" w:hAnsi="Times New Roman" w:cs="Times New Roman"/>
          <w:kern w:val="2"/>
          <w:sz w:val="24"/>
          <w:szCs w:val="24"/>
          <w:lang w:val="ru-RU"/>
          <w14:ligatures w14:val="standardContextual"/>
        </w:rPr>
        <w:t>).</w:t>
      </w:r>
    </w:p>
    <w:p w:rsidR="006472C4" w:rsidRDefault="006472C4"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22693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2.11.</w:t>
      </w:r>
      <w:r w:rsidRPr="00226936">
        <w:rPr>
          <w:rFonts w:ascii="Times New Roman" w:hAnsi="Times New Roman" w:cs="Times New Roman"/>
          <w:b/>
          <w:bCs/>
          <w:kern w:val="2"/>
          <w:sz w:val="24"/>
          <w:szCs w:val="24"/>
          <w:lang w:val="ru-RU"/>
          <w14:ligatures w14:val="standardContextual"/>
        </w:rPr>
        <w:t xml:space="preserve"> Среднемесячный валовой доход (заработная плата) по регионам Республики Молдова в 20</w:t>
      </w:r>
      <w:r>
        <w:rPr>
          <w:rFonts w:ascii="Times New Roman" w:hAnsi="Times New Roman" w:cs="Times New Roman"/>
          <w:b/>
          <w:bCs/>
          <w:kern w:val="2"/>
          <w:sz w:val="24"/>
          <w:szCs w:val="24"/>
          <w:lang w:val="ru-RU"/>
          <w14:ligatures w14:val="standardContextual"/>
        </w:rPr>
        <w:t>21</w:t>
      </w:r>
      <w:r w:rsidRPr="00226936">
        <w:rPr>
          <w:rFonts w:ascii="Times New Roman" w:hAnsi="Times New Roman" w:cs="Times New Roman"/>
          <w:b/>
          <w:bCs/>
          <w:kern w:val="2"/>
          <w:sz w:val="24"/>
          <w:szCs w:val="24"/>
          <w:lang w:val="ru-RU"/>
          <w14:ligatures w14:val="standardContextual"/>
        </w:rPr>
        <w:t>–202</w:t>
      </w:r>
      <w:r>
        <w:rPr>
          <w:rFonts w:ascii="Times New Roman" w:hAnsi="Times New Roman" w:cs="Times New Roman"/>
          <w:b/>
          <w:bCs/>
          <w:kern w:val="2"/>
          <w:sz w:val="24"/>
          <w:szCs w:val="24"/>
          <w:lang w:val="ru-RU"/>
          <w14:ligatures w14:val="standardContextual"/>
        </w:rPr>
        <w:t>5</w:t>
      </w:r>
      <w:r w:rsidRPr="00226936">
        <w:rPr>
          <w:rFonts w:ascii="Times New Roman" w:hAnsi="Times New Roman" w:cs="Times New Roman"/>
          <w:b/>
          <w:bCs/>
          <w:kern w:val="2"/>
          <w:sz w:val="24"/>
          <w:szCs w:val="24"/>
          <w:lang w:val="ru-RU"/>
          <w14:ligatures w14:val="standardContextual"/>
        </w:rPr>
        <w:t xml:space="preserve"> гг., лей</w:t>
      </w:r>
    </w:p>
    <w:p w:rsidR="006472C4" w:rsidRPr="00226936" w:rsidRDefault="006472C4"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1418"/>
        <w:gridCol w:w="1276"/>
        <w:gridCol w:w="1275"/>
        <w:gridCol w:w="1418"/>
      </w:tblGrid>
      <w:tr w:rsidR="003F5D83" w:rsidRPr="00294A9F" w:rsidTr="006472C4">
        <w:trPr>
          <w:trHeight w:val="419"/>
        </w:trPr>
        <w:tc>
          <w:tcPr>
            <w:tcW w:w="2689" w:type="dxa"/>
            <w:vAlign w:val="center"/>
          </w:tcPr>
          <w:p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26936">
              <w:rPr>
                <w:rFonts w:ascii="Times New Roman" w:hAnsi="Times New Roman" w:cs="Times New Roman"/>
                <w:b/>
                <w:bCs/>
                <w:kern w:val="2"/>
                <w:sz w:val="24"/>
                <w:szCs w:val="24"/>
                <w:lang w:val="ru-RU"/>
                <w14:ligatures w14:val="standardContextual"/>
              </w:rPr>
              <w:t>Регион</w:t>
            </w:r>
          </w:p>
        </w:tc>
        <w:tc>
          <w:tcPr>
            <w:tcW w:w="1275" w:type="dxa"/>
            <w:vAlign w:val="center"/>
            <w:hideMark/>
          </w:tcPr>
          <w:p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2021</w:t>
            </w:r>
          </w:p>
        </w:tc>
        <w:tc>
          <w:tcPr>
            <w:tcW w:w="1418" w:type="dxa"/>
            <w:vAlign w:val="center"/>
            <w:hideMark/>
          </w:tcPr>
          <w:p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2022</w:t>
            </w:r>
          </w:p>
        </w:tc>
        <w:tc>
          <w:tcPr>
            <w:tcW w:w="1276" w:type="dxa"/>
            <w:vAlign w:val="center"/>
            <w:hideMark/>
          </w:tcPr>
          <w:p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2023</w:t>
            </w:r>
          </w:p>
        </w:tc>
        <w:tc>
          <w:tcPr>
            <w:tcW w:w="1275" w:type="dxa"/>
            <w:vAlign w:val="center"/>
            <w:hideMark/>
          </w:tcPr>
          <w:p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2024</w:t>
            </w:r>
          </w:p>
        </w:tc>
        <w:tc>
          <w:tcPr>
            <w:tcW w:w="1418" w:type="dxa"/>
            <w:vAlign w:val="center"/>
            <w:hideMark/>
          </w:tcPr>
          <w:p w:rsidR="003F5D83" w:rsidRPr="00294A9F" w:rsidRDefault="003F5D83" w:rsidP="00BD6565">
            <w:pPr>
              <w:spacing w:after="0"/>
              <w:jc w:val="center"/>
              <w:rPr>
                <w:rFonts w:ascii="Times New Roman" w:hAnsi="Times New Roman" w:cs="Times New Roman"/>
                <w:b/>
                <w:bCs/>
                <w:kern w:val="2"/>
                <w:sz w:val="24"/>
                <w:szCs w:val="24"/>
                <w14:ligatures w14:val="standardContextual"/>
              </w:rPr>
            </w:pPr>
            <w:r w:rsidRPr="00294A9F">
              <w:rPr>
                <w:rFonts w:ascii="Times New Roman" w:hAnsi="Times New Roman" w:cs="Times New Roman"/>
                <w:b/>
                <w:bCs/>
                <w:kern w:val="2"/>
                <w:sz w:val="24"/>
                <w:szCs w:val="24"/>
                <w14:ligatures w14:val="standardContextual"/>
              </w:rPr>
              <w:t>2025</w:t>
            </w:r>
          </w:p>
        </w:tc>
      </w:tr>
      <w:tr w:rsidR="003F5D83" w:rsidRPr="00294A9F" w:rsidTr="006472C4">
        <w:trPr>
          <w:trHeight w:val="320"/>
        </w:trPr>
        <w:tc>
          <w:tcPr>
            <w:tcW w:w="2689" w:type="dxa"/>
            <w:vAlign w:val="center"/>
          </w:tcPr>
          <w:p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lang w:val="ru-RU"/>
                <w14:ligatures w14:val="standardContextual"/>
              </w:rPr>
              <w:t xml:space="preserve">В среднем по стране </w:t>
            </w:r>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9 115,9</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10 529,1</w:t>
            </w:r>
          </w:p>
        </w:tc>
        <w:tc>
          <w:tcPr>
            <w:tcW w:w="1276"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12 354,7</w:t>
            </w:r>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14 096,7</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15 472,1</w:t>
            </w:r>
          </w:p>
        </w:tc>
      </w:tr>
      <w:tr w:rsidR="003F5D83" w:rsidRPr="00294A9F" w:rsidTr="006472C4">
        <w:trPr>
          <w:trHeight w:val="320"/>
        </w:trPr>
        <w:tc>
          <w:tcPr>
            <w:tcW w:w="2689" w:type="dxa"/>
            <w:vAlign w:val="center"/>
          </w:tcPr>
          <w:p w:rsidR="003F5D83" w:rsidRPr="00294A9F" w:rsidRDefault="006472C4" w:rsidP="00BD6565">
            <w:pPr>
              <w:spacing w:after="0"/>
              <w:jc w:val="both"/>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 xml:space="preserve">РР </w:t>
            </w:r>
            <w:proofErr w:type="spellStart"/>
            <w:r>
              <w:rPr>
                <w:rFonts w:ascii="Times New Roman" w:hAnsi="Times New Roman" w:cs="Times New Roman"/>
                <w:kern w:val="2"/>
                <w:sz w:val="24"/>
                <w:szCs w:val="24"/>
                <w14:ligatures w14:val="standardContextual"/>
              </w:rPr>
              <w:t>Кишинё</w:t>
            </w:r>
            <w:r w:rsidR="003F5D83" w:rsidRPr="00226936">
              <w:rPr>
                <w:rFonts w:ascii="Times New Roman" w:hAnsi="Times New Roman" w:cs="Times New Roman"/>
                <w:kern w:val="2"/>
                <w:sz w:val="24"/>
                <w:szCs w:val="24"/>
                <w14:ligatures w14:val="standardContextual"/>
              </w:rPr>
              <w:t>в</w:t>
            </w:r>
            <w:proofErr w:type="spellEnd"/>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10 791,1</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12 486,5</w:t>
            </w:r>
          </w:p>
        </w:tc>
        <w:tc>
          <w:tcPr>
            <w:tcW w:w="1276"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14 618,5</w:t>
            </w:r>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16 641,0</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18 098,8</w:t>
            </w:r>
          </w:p>
        </w:tc>
      </w:tr>
      <w:tr w:rsidR="003F5D83" w:rsidRPr="00294A9F" w:rsidTr="006472C4">
        <w:trPr>
          <w:trHeight w:val="320"/>
        </w:trPr>
        <w:tc>
          <w:tcPr>
            <w:tcW w:w="2689" w:type="dxa"/>
            <w:vAlign w:val="center"/>
          </w:tcPr>
          <w:p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Север</w:t>
            </w:r>
            <w:proofErr w:type="spellEnd"/>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7 253,9</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8 211,3</w:t>
            </w:r>
          </w:p>
        </w:tc>
        <w:tc>
          <w:tcPr>
            <w:tcW w:w="1276"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9 726,7</w:t>
            </w:r>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11 009,6</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12 216,3</w:t>
            </w:r>
          </w:p>
        </w:tc>
      </w:tr>
      <w:tr w:rsidR="003F5D83" w:rsidRPr="00294A9F" w:rsidTr="006472C4">
        <w:trPr>
          <w:trHeight w:val="320"/>
        </w:trPr>
        <w:tc>
          <w:tcPr>
            <w:tcW w:w="2689" w:type="dxa"/>
            <w:vAlign w:val="center"/>
          </w:tcPr>
          <w:p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Центр</w:t>
            </w:r>
            <w:proofErr w:type="spellEnd"/>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7 069,7</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8 220,6</w:t>
            </w:r>
          </w:p>
        </w:tc>
        <w:tc>
          <w:tcPr>
            <w:tcW w:w="1276"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9 601,9</w:t>
            </w:r>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10 905,7</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12 189,7</w:t>
            </w:r>
          </w:p>
        </w:tc>
      </w:tr>
      <w:tr w:rsidR="003F5D83" w:rsidRPr="00294A9F" w:rsidTr="006472C4">
        <w:trPr>
          <w:trHeight w:val="308"/>
        </w:trPr>
        <w:tc>
          <w:tcPr>
            <w:tcW w:w="2689" w:type="dxa"/>
            <w:vAlign w:val="center"/>
          </w:tcPr>
          <w:p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w:t>
            </w:r>
            <w:proofErr w:type="spellStart"/>
            <w:r w:rsidRPr="00226936">
              <w:rPr>
                <w:rFonts w:ascii="Times New Roman" w:hAnsi="Times New Roman" w:cs="Times New Roman"/>
                <w:kern w:val="2"/>
                <w:sz w:val="24"/>
                <w:szCs w:val="24"/>
                <w14:ligatures w14:val="standardContextual"/>
              </w:rPr>
              <w:t>Юг</w:t>
            </w:r>
            <w:proofErr w:type="spellEnd"/>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6 854,7</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7 777,8</w:t>
            </w:r>
          </w:p>
        </w:tc>
        <w:tc>
          <w:tcPr>
            <w:tcW w:w="1276"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9 087,0</w:t>
            </w:r>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10 608,3</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12 069,8</w:t>
            </w:r>
          </w:p>
        </w:tc>
      </w:tr>
      <w:tr w:rsidR="003F5D83" w:rsidRPr="00294A9F" w:rsidTr="006472C4">
        <w:trPr>
          <w:trHeight w:val="320"/>
        </w:trPr>
        <w:tc>
          <w:tcPr>
            <w:tcW w:w="2689" w:type="dxa"/>
            <w:vAlign w:val="center"/>
          </w:tcPr>
          <w:p w:rsidR="003F5D83" w:rsidRPr="00294A9F" w:rsidRDefault="003F5D83" w:rsidP="00BD6565">
            <w:pPr>
              <w:spacing w:after="0"/>
              <w:jc w:val="both"/>
              <w:rPr>
                <w:rFonts w:ascii="Times New Roman" w:hAnsi="Times New Roman" w:cs="Times New Roman"/>
                <w:b/>
                <w:bCs/>
                <w:kern w:val="2"/>
                <w:sz w:val="24"/>
                <w:szCs w:val="24"/>
                <w14:ligatures w14:val="standardContextual"/>
              </w:rPr>
            </w:pPr>
            <w:r w:rsidRPr="00226936">
              <w:rPr>
                <w:rFonts w:ascii="Times New Roman" w:hAnsi="Times New Roman" w:cs="Times New Roman"/>
                <w:kern w:val="2"/>
                <w:sz w:val="24"/>
                <w:szCs w:val="24"/>
                <w14:ligatures w14:val="standardContextual"/>
              </w:rPr>
              <w:t xml:space="preserve">РР АТО </w:t>
            </w:r>
            <w:proofErr w:type="spellStart"/>
            <w:r w:rsidRPr="00226936">
              <w:rPr>
                <w:rFonts w:ascii="Times New Roman" w:hAnsi="Times New Roman" w:cs="Times New Roman"/>
                <w:kern w:val="2"/>
                <w:sz w:val="24"/>
                <w:szCs w:val="24"/>
                <w14:ligatures w14:val="standardContextual"/>
              </w:rPr>
              <w:t>Гагаузия</w:t>
            </w:r>
            <w:proofErr w:type="spellEnd"/>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6 715,5</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7 553,2</w:t>
            </w:r>
          </w:p>
        </w:tc>
        <w:tc>
          <w:tcPr>
            <w:tcW w:w="1276"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8 457,3</w:t>
            </w:r>
          </w:p>
        </w:tc>
        <w:tc>
          <w:tcPr>
            <w:tcW w:w="1275"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9 680,9</w:t>
            </w:r>
          </w:p>
        </w:tc>
        <w:tc>
          <w:tcPr>
            <w:tcW w:w="1418" w:type="dxa"/>
            <w:noWrap/>
            <w:vAlign w:val="center"/>
            <w:hideMark/>
          </w:tcPr>
          <w:p w:rsidR="003F5D83" w:rsidRPr="00294A9F" w:rsidRDefault="003F5D83" w:rsidP="00BD6565">
            <w:pPr>
              <w:spacing w:after="0"/>
              <w:jc w:val="right"/>
              <w:rPr>
                <w:rFonts w:ascii="Times New Roman" w:hAnsi="Times New Roman" w:cs="Times New Roman"/>
                <w:kern w:val="2"/>
                <w:sz w:val="24"/>
                <w:szCs w:val="24"/>
                <w14:ligatures w14:val="standardContextual"/>
              </w:rPr>
            </w:pPr>
            <w:r w:rsidRPr="00294A9F">
              <w:rPr>
                <w:rFonts w:ascii="Times New Roman" w:hAnsi="Times New Roman" w:cs="Times New Roman"/>
                <w:kern w:val="2"/>
                <w:sz w:val="24"/>
                <w:szCs w:val="24"/>
                <w14:ligatures w14:val="standardContextual"/>
              </w:rPr>
              <w:t>10 759,4</w:t>
            </w:r>
          </w:p>
        </w:tc>
      </w:tr>
    </w:tbl>
    <w:p w:rsidR="003F5D83" w:rsidRPr="00747231" w:rsidRDefault="003F5D83" w:rsidP="003F5D83">
      <w:pPr>
        <w:spacing w:after="0" w:line="240" w:lineRule="auto"/>
        <w:ind w:right="120"/>
        <w:jc w:val="both"/>
        <w:rPr>
          <w:rFonts w:ascii="Times New Roman" w:hAnsi="Times New Roman" w:cs="Times New Roman"/>
          <w:i/>
          <w:iCs/>
          <w:kern w:val="2"/>
          <w:sz w:val="16"/>
          <w:szCs w:val="16"/>
          <w14:ligatures w14:val="standardContextual"/>
        </w:rPr>
      </w:pPr>
      <w:proofErr w:type="spellStart"/>
      <w:r w:rsidRPr="00747231">
        <w:rPr>
          <w:rFonts w:ascii="Times New Roman" w:hAnsi="Times New Roman" w:cs="Times New Roman"/>
          <w:i/>
          <w:iCs/>
          <w:kern w:val="2"/>
          <w:sz w:val="16"/>
          <w:szCs w:val="16"/>
          <w14:ligatures w14:val="standardContextual"/>
        </w:rPr>
        <w:t>Источник</w:t>
      </w:r>
      <w:proofErr w:type="spellEnd"/>
      <w:r w:rsidRPr="00747231">
        <w:rPr>
          <w:rFonts w:ascii="Times New Roman" w:hAnsi="Times New Roman" w:cs="Times New Roman"/>
          <w:i/>
          <w:iCs/>
          <w:kern w:val="2"/>
          <w:sz w:val="16"/>
          <w:szCs w:val="16"/>
          <w14:ligatures w14:val="standardContextual"/>
        </w:rPr>
        <w:t xml:space="preserve">: Banca de date </w:t>
      </w:r>
      <w:proofErr w:type="spellStart"/>
      <w:r w:rsidRPr="00747231">
        <w:rPr>
          <w:rFonts w:ascii="Times New Roman" w:hAnsi="Times New Roman" w:cs="Times New Roman"/>
          <w:i/>
          <w:iCs/>
          <w:kern w:val="2"/>
          <w:sz w:val="16"/>
          <w:szCs w:val="16"/>
          <w14:ligatures w14:val="standardContextual"/>
        </w:rPr>
        <w:t>statistică</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StatBank</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Câștigul</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salarial</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mediu</w:t>
      </w:r>
      <w:proofErr w:type="spellEnd"/>
      <w:r w:rsidRPr="00747231">
        <w:rPr>
          <w:rFonts w:ascii="Times New Roman" w:hAnsi="Times New Roman" w:cs="Times New Roman"/>
          <w:i/>
          <w:iCs/>
          <w:kern w:val="2"/>
          <w:sz w:val="16"/>
          <w:szCs w:val="16"/>
          <w14:ligatures w14:val="standardContextual"/>
        </w:rPr>
        <w:t xml:space="preserve"> lunar brut pe </w:t>
      </w:r>
      <w:proofErr w:type="spellStart"/>
      <w:r w:rsidRPr="00747231">
        <w:rPr>
          <w:rFonts w:ascii="Times New Roman" w:hAnsi="Times New Roman" w:cs="Times New Roman"/>
          <w:i/>
          <w:iCs/>
          <w:kern w:val="2"/>
          <w:sz w:val="16"/>
          <w:szCs w:val="16"/>
          <w14:ligatures w14:val="standardContextual"/>
        </w:rPr>
        <w:t>trimestre</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în</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profil</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teritorial</w:t>
      </w:r>
      <w:proofErr w:type="spellEnd"/>
      <w:r w:rsidRPr="00747231">
        <w:rPr>
          <w:rFonts w:ascii="Times New Roman" w:hAnsi="Times New Roman" w:cs="Times New Roman"/>
          <w:i/>
          <w:iCs/>
          <w:kern w:val="2"/>
          <w:sz w:val="16"/>
          <w:szCs w:val="16"/>
          <w14:ligatures w14:val="standardContextual"/>
        </w:rPr>
        <w:t>, 2016–2025 [</w:t>
      </w:r>
      <w:proofErr w:type="spellStart"/>
      <w:r w:rsidRPr="00747231">
        <w:rPr>
          <w:rFonts w:ascii="Times New Roman" w:hAnsi="Times New Roman" w:cs="Times New Roman"/>
          <w:i/>
          <w:iCs/>
          <w:kern w:val="2"/>
          <w:sz w:val="16"/>
          <w:szCs w:val="16"/>
          <w14:ligatures w14:val="standardContextual"/>
        </w:rPr>
        <w:t>resursă</w:t>
      </w:r>
      <w:proofErr w:type="spellEnd"/>
      <w:r w:rsidRPr="00747231">
        <w:rPr>
          <w:rFonts w:ascii="Times New Roman" w:hAnsi="Times New Roman" w:cs="Times New Roman"/>
          <w:i/>
          <w:iCs/>
          <w:kern w:val="2"/>
          <w:sz w:val="16"/>
          <w:szCs w:val="16"/>
          <w14:ligatures w14:val="standardContextual"/>
        </w:rPr>
        <w:t xml:space="preserve"> </w:t>
      </w:r>
      <w:proofErr w:type="spellStart"/>
      <w:r w:rsidRPr="00747231">
        <w:rPr>
          <w:rFonts w:ascii="Times New Roman" w:hAnsi="Times New Roman" w:cs="Times New Roman"/>
          <w:i/>
          <w:iCs/>
          <w:kern w:val="2"/>
          <w:sz w:val="16"/>
          <w:szCs w:val="16"/>
          <w14:ligatures w14:val="standardContextual"/>
        </w:rPr>
        <w:t>electronică</w:t>
      </w:r>
      <w:proofErr w:type="spellEnd"/>
      <w:r w:rsidRPr="00747231">
        <w:rPr>
          <w:rFonts w:ascii="Times New Roman" w:hAnsi="Times New Roman" w:cs="Times New Roman"/>
          <w:i/>
          <w:iCs/>
          <w:kern w:val="2"/>
          <w:sz w:val="16"/>
          <w:szCs w:val="16"/>
          <w14:ligatures w14:val="standardContextual"/>
        </w:rPr>
        <w:t xml:space="preserve">]. – </w:t>
      </w:r>
      <w:proofErr w:type="spellStart"/>
      <w:r w:rsidRPr="00747231">
        <w:rPr>
          <w:rFonts w:ascii="Times New Roman" w:hAnsi="Times New Roman" w:cs="Times New Roman"/>
          <w:i/>
          <w:iCs/>
          <w:kern w:val="2"/>
          <w:sz w:val="16"/>
          <w:szCs w:val="16"/>
          <w14:ligatures w14:val="standardContextual"/>
        </w:rPr>
        <w:t>Disponibil</w:t>
      </w:r>
      <w:proofErr w:type="spellEnd"/>
      <w:r w:rsidRPr="00747231">
        <w:rPr>
          <w:rFonts w:ascii="Times New Roman" w:hAnsi="Times New Roman" w:cs="Times New Roman"/>
          <w:i/>
          <w:iCs/>
          <w:kern w:val="2"/>
          <w:sz w:val="16"/>
          <w:szCs w:val="16"/>
          <w14:ligatures w14:val="standardContextual"/>
        </w:rPr>
        <w:t>:</w:t>
      </w:r>
    </w:p>
    <w:p w:rsidR="003F5D83" w:rsidRPr="00747231" w:rsidRDefault="00835535" w:rsidP="003F5D83">
      <w:pPr>
        <w:spacing w:after="0" w:line="240" w:lineRule="auto"/>
        <w:ind w:right="120"/>
        <w:jc w:val="both"/>
        <w:rPr>
          <w:rFonts w:ascii="Times New Roman" w:hAnsi="Times New Roman" w:cs="Times New Roman"/>
          <w:kern w:val="2"/>
          <w:sz w:val="16"/>
          <w:szCs w:val="16"/>
          <w14:ligatures w14:val="standardContextual"/>
        </w:rPr>
      </w:pPr>
      <w:hyperlink r:id="rId30" w:tgtFrame="_new" w:history="1">
        <w:r w:rsidR="003F5D83" w:rsidRPr="00747231">
          <w:rPr>
            <w:rFonts w:ascii="Times New Roman" w:hAnsi="Times New Roman" w:cs="Times New Roman"/>
            <w:i/>
            <w:iCs/>
            <w:color w:val="0563C1" w:themeColor="hyperlink"/>
            <w:kern w:val="2"/>
            <w:sz w:val="16"/>
            <w:szCs w:val="16"/>
            <w:u w:val="single"/>
            <w14:ligatures w14:val="standardContextual"/>
          </w:rPr>
          <w:t>https://statbank.statistica.md/PxWeb/pxweb/ro/30%20Statistica%20sociala/30%20Statistica%20sociala__03%20FM__SAL010__serii%20lunare/SAL014910reg.px/table/tableViewLayout2/</w:t>
        </w:r>
      </w:hyperlink>
    </w:p>
    <w:p w:rsidR="003F5D83" w:rsidRPr="0093474A" w:rsidRDefault="003F5D83" w:rsidP="003F5D83">
      <w:pPr>
        <w:spacing w:after="0" w:line="240" w:lineRule="auto"/>
        <w:ind w:firstLine="567"/>
        <w:jc w:val="both"/>
        <w:rPr>
          <w:rFonts w:ascii="Times New Roman" w:hAnsi="Times New Roman" w:cs="Times New Roman"/>
          <w:kern w:val="2"/>
          <w:sz w:val="24"/>
          <w:szCs w:val="24"/>
          <w14:ligatures w14:val="standardContextual"/>
        </w:rPr>
      </w:pPr>
    </w:p>
    <w:p w:rsidR="003F5D83" w:rsidRPr="00164F57"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В целом по стране среднемесячная заработная плата в 2021–2025 гг. демонстрирует устойчивый рост: с 9 115,9 леев до 15 472,1 леев, то есть на 6 356,2 леев или примерно на 69,7% за анализируемый период. Это свидетельствует о положительной динамике доходов населения и постепенном повышении уровня оплаты труда.</w:t>
      </w:r>
    </w:p>
    <w:p w:rsidR="003F5D83" w:rsidRPr="00164F57"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Наиболее высокий уровень заработной платы сохраняется в муниципии Кишин</w:t>
      </w:r>
      <w:r w:rsidR="006472C4">
        <w:rPr>
          <w:rFonts w:ascii="Times New Roman" w:hAnsi="Times New Roman" w:cs="Times New Roman"/>
          <w:kern w:val="2"/>
          <w:sz w:val="24"/>
          <w:szCs w:val="24"/>
          <w:lang w:val="ru-RU"/>
          <w14:ligatures w14:val="standardContextual"/>
        </w:rPr>
        <w:t xml:space="preserve">ёв, где доходы увеличились с 10 </w:t>
      </w:r>
      <w:r w:rsidRPr="00164F57">
        <w:rPr>
          <w:rFonts w:ascii="Times New Roman" w:hAnsi="Times New Roman" w:cs="Times New Roman"/>
          <w:kern w:val="2"/>
          <w:sz w:val="24"/>
          <w:szCs w:val="24"/>
          <w:lang w:val="ru-RU"/>
          <w14:ligatures w14:val="standardContextual"/>
        </w:rPr>
        <w:t>791,1 до 18 098,8 леев (на 7 307,7 леев или около 67,7%), значительно превышая среднереспубликанский уровень. Это обусловлено концентрацией высокооплачиваемых рабочих мест и развитой экономической инфраструктурой.</w:t>
      </w:r>
    </w:p>
    <w:p w:rsidR="003F5D83" w:rsidRPr="00164F57"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В остальных регионах также наблюдается положительная динамика. Так, в северном регионе заработная плата выросла с 7 253,9 до 12 216,3 леев (на 4 962,4 леев или около 68,4%), в центральном — с 7 069,7 до 12 189,7 леев (на 5 120,0 леев или примерно 72,4%), а в южном — с 6 854,7 до 12 069,8 леев (на 5 215,1 леев или около 76,1%), что свидетельствует о более высоких темпах роста в менее развитых регионах.</w:t>
      </w:r>
    </w:p>
    <w:p w:rsidR="003F5D83" w:rsidRPr="00164F57"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В АТО Гагаузия среднемесячная заработная плата увеличилась с 6 715,5 до 10 759,4 леев, то есть на 4 043,9 леев или примерно на 60,2%. Несмотря на положительную динамику, уровень доходов в автономии остаётся самым низким среди всех регионов страны.</w:t>
      </w:r>
    </w:p>
    <w:p w:rsidR="003F5D83" w:rsidRPr="0093474A"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164F57">
        <w:rPr>
          <w:rFonts w:ascii="Times New Roman" w:hAnsi="Times New Roman" w:cs="Times New Roman"/>
          <w:kern w:val="2"/>
          <w:sz w:val="24"/>
          <w:szCs w:val="24"/>
          <w:lang w:val="ru-RU"/>
          <w14:ligatures w14:val="standardContextual"/>
        </w:rPr>
        <w:t xml:space="preserve">Так, в 2025 г. разрыв в уровне среднемесячной заработной платы между АТО Гагаузия и средним по стране составляет 4 712,7 леев, что примерно на 30,5% ниже среднереспубликанского уровня. Отставание наблюдается и по отношению к другим регионам: уровень заработной платы в автономии ниже, чем в северном регионе на 11,9%, в центральном — на 11,7%, и в южном — на 10,9%. По сравнению с муниципием Кишинёв </w:t>
      </w:r>
      <w:r w:rsidRPr="00164F57">
        <w:rPr>
          <w:rFonts w:ascii="Times New Roman" w:hAnsi="Times New Roman" w:cs="Times New Roman"/>
          <w:kern w:val="2"/>
          <w:sz w:val="24"/>
          <w:szCs w:val="24"/>
          <w:lang w:val="ru-RU"/>
          <w14:ligatures w14:val="standardContextual"/>
        </w:rPr>
        <w:lastRenderedPageBreak/>
        <w:t>разрыв превышает 7 300 леев, или около 40,5%, что подтверждает сохраняющиеся значительные региональные диспропорции в уровне доходов населения.</w:t>
      </w:r>
    </w:p>
    <w:p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0E2CEB" w:rsidRDefault="003F5D83" w:rsidP="003F5D83">
      <w:pPr>
        <w:spacing w:after="0" w:line="240" w:lineRule="auto"/>
        <w:jc w:val="both"/>
        <w:rPr>
          <w:rFonts w:ascii="Times New Roman" w:eastAsia="Times New Roman" w:hAnsi="Times New Roman" w:cs="Times New Roman"/>
          <w:b/>
          <w:bCs/>
          <w:color w:val="000000"/>
          <w:sz w:val="24"/>
          <w:szCs w:val="24"/>
          <w:lang w:val="ru-RU"/>
        </w:rPr>
      </w:pPr>
      <w:r w:rsidRPr="00AB01D4">
        <w:rPr>
          <w:rFonts w:ascii="Times New Roman" w:eastAsia="Times New Roman" w:hAnsi="Times New Roman" w:cs="Times New Roman"/>
          <w:b/>
          <w:bCs/>
          <w:color w:val="000000"/>
          <w:sz w:val="24"/>
          <w:szCs w:val="24"/>
          <w:lang w:val="ru-RU"/>
        </w:rPr>
        <w:t>2.2. Развитие городских центров</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АТО Гагаузия — автономное территориальное образование на юге Республики Молдова, включающее три городских центра: муниципий Комрат (столица и административный центр), муниципий Чадыр-Лунга и город Вулканешты. Все три города являются районными центрами и выполняют ключевые административные, экономические и социальные функции для окружающих сельских территорий. Совокупное население трёх городов составляет </w:t>
      </w:r>
      <w:r>
        <w:rPr>
          <w:rFonts w:ascii="Times New Roman" w:hAnsi="Times New Roman" w:cs="Times New Roman"/>
          <w:sz w:val="24"/>
          <w:szCs w:val="24"/>
          <w:lang w:val="ru-RU"/>
        </w:rPr>
        <w:t>порядка</w:t>
      </w:r>
      <w:r w:rsidRPr="00EF5609">
        <w:rPr>
          <w:rFonts w:ascii="Times New Roman" w:hAnsi="Times New Roman" w:cs="Times New Roman"/>
          <w:sz w:val="24"/>
          <w:szCs w:val="24"/>
          <w:lang w:val="ru-RU"/>
        </w:rPr>
        <w:t xml:space="preserve"> 45 тыс. человек.</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Каждый из городов сформировался как самостоятельный культурно-экономический центр с уникальными характеристиками: Комрат — </w:t>
      </w:r>
      <w:r w:rsidRPr="00C06D6B">
        <w:rPr>
          <w:rFonts w:ascii="Times New Roman" w:hAnsi="Times New Roman" w:cs="Times New Roman"/>
          <w:sz w:val="24"/>
          <w:szCs w:val="24"/>
          <w:lang w:val="ru-RU"/>
        </w:rPr>
        <w:t xml:space="preserve">важный транспортный узел, политический, экономический, культурный и научный центр </w:t>
      </w:r>
      <w:r w:rsidRPr="00EF5609">
        <w:rPr>
          <w:rFonts w:ascii="Times New Roman" w:hAnsi="Times New Roman" w:cs="Times New Roman"/>
          <w:sz w:val="24"/>
          <w:szCs w:val="24"/>
          <w:lang w:val="ru-RU"/>
        </w:rPr>
        <w:t xml:space="preserve">автономии с наиболее диверсифицированной экономикой; Чадыр-Лунга — </w:t>
      </w:r>
      <w:r w:rsidRPr="00F75040">
        <w:rPr>
          <w:rFonts w:ascii="Times New Roman" w:hAnsi="Times New Roman" w:cs="Times New Roman"/>
          <w:sz w:val="24"/>
          <w:szCs w:val="24"/>
          <w:lang w:val="ru-RU"/>
        </w:rPr>
        <w:t>важный транспортный узел, промышленный и культурный центр региона</w:t>
      </w:r>
      <w:r w:rsidRPr="00EF5609">
        <w:rPr>
          <w:rFonts w:ascii="Times New Roman" w:hAnsi="Times New Roman" w:cs="Times New Roman"/>
          <w:sz w:val="24"/>
          <w:szCs w:val="24"/>
          <w:lang w:val="ru-RU"/>
        </w:rPr>
        <w:t>; Вулканешты — компактный южный центр с высокой концентрацией промышленных объектов в индустриальной зоне.</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Быстрый темп урбанизации приводит к увеличению важности городов, а также их влиянию на устойчивое развитие. Города в то же время являются двигателями экономики и катализаторами для инноваций. Согласно данным НБС, в РРГ 41,4% населения (46,8 тыс. жителей) живут в городах, однако в действительности наблюдается устойчивая тенденция к сокращению численности жителей во всех трёх городах — прежде всего вследствие трудовой и молодёжной миграции.</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Степень урбанизации региона ниже национального уровня, составляющего 43,7%, но выше по сравнению с остальными регионами развития. В остальных регионах доля городского населения составляет 31% - в РРС, 18% - в РРЦ и 25,9% - в РРЮ.</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Ключевыми факторами, препятствующими урбанизации и удержанию населения в городах АТО Гагаузия, являются: ограниченный рынок труда и низкий уровень заработных плат относительно Кишинёва и европейских стран; недостаточная диверсификация экономики; слабая инфраструктура (в первую очередь дороги и коммунальные сети); ограниченное жильё современного уровня; отток молодёжи, связанный с поступлением в университеты за пределами автономии.</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Вместе с тем в Комрате отмечаются отдельные положительные тенденции: активное развитие МСП, наличие </w:t>
      </w:r>
      <w:proofErr w:type="spellStart"/>
      <w:r w:rsidRPr="00EF5609">
        <w:rPr>
          <w:rFonts w:ascii="Times New Roman" w:hAnsi="Times New Roman" w:cs="Times New Roman"/>
          <w:sz w:val="24"/>
          <w:szCs w:val="24"/>
          <w:lang w:val="ru-RU"/>
        </w:rPr>
        <w:t>Комратского</w:t>
      </w:r>
      <w:proofErr w:type="spellEnd"/>
      <w:r w:rsidRPr="00EF5609">
        <w:rPr>
          <w:rFonts w:ascii="Times New Roman" w:hAnsi="Times New Roman" w:cs="Times New Roman"/>
          <w:sz w:val="24"/>
          <w:szCs w:val="24"/>
          <w:lang w:val="ru-RU"/>
        </w:rPr>
        <w:t xml:space="preserve"> государственного университета, </w:t>
      </w:r>
      <w:r>
        <w:rPr>
          <w:rFonts w:ascii="Times New Roman" w:hAnsi="Times New Roman" w:cs="Times New Roman"/>
          <w:sz w:val="24"/>
          <w:szCs w:val="24"/>
          <w:lang w:val="ru-RU"/>
        </w:rPr>
        <w:t xml:space="preserve">Педагогического колледжа и готового к открытию Индустриального колледжа, наличие </w:t>
      </w:r>
      <w:r w:rsidRPr="00EF5609">
        <w:rPr>
          <w:rFonts w:ascii="Times New Roman" w:hAnsi="Times New Roman" w:cs="Times New Roman"/>
          <w:sz w:val="24"/>
          <w:szCs w:val="24"/>
          <w:lang w:val="ru-RU"/>
        </w:rPr>
        <w:t xml:space="preserve">Промышленного парка </w:t>
      </w:r>
      <w:r>
        <w:rPr>
          <w:rFonts w:ascii="Times New Roman" w:hAnsi="Times New Roman" w:cs="Times New Roman"/>
          <w:sz w:val="24"/>
          <w:szCs w:val="24"/>
          <w:lang w:val="ru-RU"/>
        </w:rPr>
        <w:t xml:space="preserve">и </w:t>
      </w:r>
      <w:proofErr w:type="spellStart"/>
      <w:r>
        <w:rPr>
          <w:rFonts w:ascii="Times New Roman" w:hAnsi="Times New Roman" w:cs="Times New Roman"/>
          <w:sz w:val="24"/>
          <w:szCs w:val="24"/>
          <w:lang w:val="ru-RU"/>
        </w:rPr>
        <w:t>субзоны</w:t>
      </w:r>
      <w:proofErr w:type="spellEnd"/>
      <w:r w:rsidRPr="00EF5609">
        <w:rPr>
          <w:rFonts w:ascii="Times New Roman" w:hAnsi="Times New Roman" w:cs="Times New Roman"/>
          <w:sz w:val="24"/>
          <w:szCs w:val="24"/>
          <w:lang w:val="ru-RU"/>
        </w:rPr>
        <w:t xml:space="preserve"> СЭЗ «</w:t>
      </w:r>
      <w:proofErr w:type="spellStart"/>
      <w:r w:rsidRPr="00EF5609">
        <w:rPr>
          <w:rFonts w:ascii="Times New Roman" w:hAnsi="Times New Roman" w:cs="Times New Roman"/>
          <w:sz w:val="24"/>
          <w:szCs w:val="24"/>
          <w:lang w:val="ru-RU"/>
        </w:rPr>
        <w:t>Валканеш</w:t>
      </w:r>
      <w:proofErr w:type="spellEnd"/>
      <w:r w:rsidRPr="00EF5609">
        <w:rPr>
          <w:rFonts w:ascii="Times New Roman" w:hAnsi="Times New Roman" w:cs="Times New Roman"/>
          <w:sz w:val="24"/>
          <w:szCs w:val="24"/>
          <w:lang w:val="ru-RU"/>
        </w:rPr>
        <w:t>». Эти факторы потенциально способны при</w:t>
      </w:r>
      <w:r>
        <w:rPr>
          <w:rFonts w:ascii="Times New Roman" w:hAnsi="Times New Roman" w:cs="Times New Roman"/>
          <w:sz w:val="24"/>
          <w:szCs w:val="24"/>
          <w:lang w:val="ru-RU"/>
        </w:rPr>
        <w:t>остановить</w:t>
      </w:r>
      <w:r w:rsidRPr="00EF5609">
        <w:rPr>
          <w:rFonts w:ascii="Times New Roman" w:hAnsi="Times New Roman" w:cs="Times New Roman"/>
          <w:sz w:val="24"/>
          <w:szCs w:val="24"/>
          <w:lang w:val="ru-RU"/>
        </w:rPr>
        <w:t xml:space="preserve"> отток и создать условия для формирования новых центров притяжения в рамках автономии.</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состав региона развития Гагаузия входят </w:t>
      </w:r>
      <w:r>
        <w:rPr>
          <w:rFonts w:ascii="Times New Roman" w:hAnsi="Times New Roman" w:cs="Times New Roman"/>
          <w:sz w:val="24"/>
          <w:szCs w:val="24"/>
          <w:lang w:val="ru-RU"/>
        </w:rPr>
        <w:t>3 городских центра</w:t>
      </w:r>
      <w:r w:rsidRPr="00EF5609">
        <w:rPr>
          <w:rFonts w:ascii="Times New Roman" w:hAnsi="Times New Roman" w:cs="Times New Roman"/>
          <w:sz w:val="24"/>
          <w:szCs w:val="24"/>
          <w:lang w:val="ru-RU"/>
        </w:rPr>
        <w:t xml:space="preserve">: </w:t>
      </w:r>
    </w:p>
    <w:p w:rsidR="003F5D83" w:rsidRPr="00EF5609" w:rsidRDefault="003F5D83" w:rsidP="003F5D83">
      <w:pPr>
        <w:spacing w:after="0" w:line="240" w:lineRule="auto"/>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 </w:t>
      </w:r>
      <w:proofErr w:type="spellStart"/>
      <w:r w:rsidRPr="00EF5609">
        <w:rPr>
          <w:rFonts w:ascii="Times New Roman" w:hAnsi="Times New Roman" w:cs="Times New Roman"/>
          <w:sz w:val="24"/>
          <w:szCs w:val="24"/>
          <w:lang w:val="ru-RU"/>
        </w:rPr>
        <w:t>мун</w:t>
      </w:r>
      <w:proofErr w:type="spellEnd"/>
      <w:r w:rsidRPr="00EF5609">
        <w:rPr>
          <w:rFonts w:ascii="Times New Roman" w:hAnsi="Times New Roman" w:cs="Times New Roman"/>
          <w:sz w:val="24"/>
          <w:szCs w:val="24"/>
          <w:lang w:val="ru-RU"/>
        </w:rPr>
        <w:t>. Комрат – с населением 19</w:t>
      </w:r>
      <w:r w:rsidRPr="0024676C">
        <w:rPr>
          <w:rFonts w:ascii="Times New Roman" w:hAnsi="Times New Roman" w:cs="Times New Roman"/>
          <w:sz w:val="24"/>
          <w:szCs w:val="24"/>
        </w:rPr>
        <w:t> </w:t>
      </w:r>
      <w:r w:rsidRPr="00EF5609">
        <w:rPr>
          <w:rFonts w:ascii="Times New Roman" w:hAnsi="Times New Roman" w:cs="Times New Roman"/>
          <w:sz w:val="24"/>
          <w:szCs w:val="24"/>
          <w:lang w:val="ru-RU"/>
        </w:rPr>
        <w:t xml:space="preserve">120* человек - относится к населённым пунктам </w:t>
      </w:r>
      <w:r w:rsidRPr="0024676C">
        <w:rPr>
          <w:rFonts w:ascii="Times New Roman" w:hAnsi="Times New Roman" w:cs="Times New Roman"/>
          <w:sz w:val="24"/>
          <w:szCs w:val="24"/>
        </w:rPr>
        <w:t>II</w:t>
      </w:r>
      <w:r w:rsidRPr="00EF5609">
        <w:rPr>
          <w:rFonts w:ascii="Times New Roman" w:hAnsi="Times New Roman" w:cs="Times New Roman"/>
          <w:sz w:val="24"/>
          <w:szCs w:val="24"/>
          <w:lang w:val="ru-RU"/>
        </w:rPr>
        <w:t xml:space="preserve"> уровня – муниципии-резиденции районов; </w:t>
      </w:r>
    </w:p>
    <w:p w:rsidR="003F5D83" w:rsidRPr="00EF5609" w:rsidRDefault="003F5D83" w:rsidP="003F5D83">
      <w:pPr>
        <w:spacing w:after="0" w:line="240" w:lineRule="auto"/>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 </w:t>
      </w:r>
      <w:proofErr w:type="spellStart"/>
      <w:r w:rsidRPr="00EF5609">
        <w:rPr>
          <w:rFonts w:ascii="Times New Roman" w:hAnsi="Times New Roman" w:cs="Times New Roman"/>
          <w:sz w:val="24"/>
          <w:szCs w:val="24"/>
          <w:lang w:val="ru-RU"/>
        </w:rPr>
        <w:t>мун</w:t>
      </w:r>
      <w:proofErr w:type="spellEnd"/>
      <w:r w:rsidRPr="00EF5609">
        <w:rPr>
          <w:rFonts w:ascii="Times New Roman" w:hAnsi="Times New Roman" w:cs="Times New Roman"/>
          <w:sz w:val="24"/>
          <w:szCs w:val="24"/>
          <w:lang w:val="ru-RU"/>
        </w:rPr>
        <w:t>. Чадыр-Лунга – с населением 14</w:t>
      </w:r>
      <w:r w:rsidRPr="0024676C">
        <w:rPr>
          <w:rFonts w:ascii="Times New Roman" w:hAnsi="Times New Roman" w:cs="Times New Roman"/>
          <w:sz w:val="24"/>
          <w:szCs w:val="24"/>
        </w:rPr>
        <w:t> </w:t>
      </w:r>
      <w:r w:rsidRPr="00EF5609">
        <w:rPr>
          <w:rFonts w:ascii="Times New Roman" w:hAnsi="Times New Roman" w:cs="Times New Roman"/>
          <w:sz w:val="24"/>
          <w:szCs w:val="24"/>
          <w:lang w:val="ru-RU"/>
        </w:rPr>
        <w:t xml:space="preserve">285* человек, имеет статус муниципалитета и обладает повышенным потенциалом для социально-экономического роста города региона развития; </w:t>
      </w:r>
    </w:p>
    <w:p w:rsidR="003F5D83" w:rsidRPr="00EF5609" w:rsidRDefault="003F5D83" w:rsidP="003F5D83">
      <w:pPr>
        <w:spacing w:after="0" w:line="240" w:lineRule="auto"/>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г. Вулканешты – с населением 10</w:t>
      </w:r>
      <w:r w:rsidRPr="0024676C">
        <w:rPr>
          <w:rFonts w:ascii="Times New Roman" w:hAnsi="Times New Roman" w:cs="Times New Roman"/>
          <w:sz w:val="24"/>
          <w:szCs w:val="24"/>
        </w:rPr>
        <w:t> </w:t>
      </w:r>
      <w:r w:rsidRPr="00EF5609">
        <w:rPr>
          <w:rFonts w:ascii="Times New Roman" w:hAnsi="Times New Roman" w:cs="Times New Roman"/>
          <w:sz w:val="24"/>
          <w:szCs w:val="24"/>
          <w:lang w:val="ru-RU"/>
        </w:rPr>
        <w:t xml:space="preserve">919* человек - средний районный центр (10–15 тыс. жителей). </w:t>
      </w:r>
    </w:p>
    <w:p w:rsidR="003F5D83" w:rsidRDefault="003F5D83" w:rsidP="003F5D83">
      <w:pPr>
        <w:spacing w:after="0" w:line="240" w:lineRule="auto"/>
        <w:jc w:val="both"/>
        <w:rPr>
          <w:rFonts w:ascii="Times New Roman" w:hAnsi="Times New Roman" w:cs="Times New Roman"/>
          <w:i/>
          <w:iCs/>
          <w:sz w:val="16"/>
          <w:szCs w:val="16"/>
          <w:lang w:val="ru-RU"/>
        </w:rPr>
      </w:pPr>
      <w:r w:rsidRPr="007652E1">
        <w:rPr>
          <w:rFonts w:ascii="Times New Roman" w:hAnsi="Times New Roman" w:cs="Times New Roman"/>
          <w:i/>
          <w:iCs/>
          <w:sz w:val="16"/>
          <w:szCs w:val="16"/>
          <w:lang w:val="ru-RU"/>
        </w:rPr>
        <w:t xml:space="preserve">*Численность населения по </w:t>
      </w:r>
      <w:proofErr w:type="spellStart"/>
      <w:r w:rsidRPr="007652E1">
        <w:rPr>
          <w:rFonts w:ascii="Times New Roman" w:hAnsi="Times New Roman" w:cs="Times New Roman"/>
          <w:i/>
          <w:iCs/>
          <w:sz w:val="16"/>
          <w:szCs w:val="16"/>
          <w:lang w:val="ru-RU"/>
        </w:rPr>
        <w:t>примэриям</w:t>
      </w:r>
      <w:proofErr w:type="spellEnd"/>
      <w:r w:rsidRPr="007652E1">
        <w:rPr>
          <w:rFonts w:ascii="Times New Roman" w:hAnsi="Times New Roman" w:cs="Times New Roman"/>
          <w:i/>
          <w:iCs/>
          <w:sz w:val="16"/>
          <w:szCs w:val="16"/>
          <w:lang w:val="ru-RU"/>
        </w:rPr>
        <w:t xml:space="preserve"> населенных пунктов АТО Гагаузия согласно данным переписи населения от 08 апреля 2024 года.</w:t>
      </w:r>
    </w:p>
    <w:p w:rsidR="003F5D83" w:rsidRPr="007652E1" w:rsidRDefault="003F5D83" w:rsidP="003F5D83">
      <w:pPr>
        <w:spacing w:after="0" w:line="240" w:lineRule="auto"/>
        <w:jc w:val="both"/>
        <w:rPr>
          <w:rFonts w:ascii="Times New Roman" w:hAnsi="Times New Roman" w:cs="Times New Roman"/>
          <w:i/>
          <w:iCs/>
          <w:sz w:val="16"/>
          <w:szCs w:val="16"/>
          <w:lang w:val="ru-RU"/>
        </w:rPr>
      </w:pPr>
    </w:p>
    <w:p w:rsidR="003F5D83" w:rsidRPr="004B57E7"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Нужно отметить, что муниципий Комрат включён в Национальную Программу развития городов-полюсов роста в Республике Молдова на 2021–2027 гг., утвержденн</w:t>
      </w:r>
      <w:r>
        <w:rPr>
          <w:rFonts w:ascii="Times New Roman" w:hAnsi="Times New Roman" w:cs="Times New Roman"/>
          <w:sz w:val="24"/>
          <w:szCs w:val="24"/>
          <w:lang w:val="ru-RU"/>
        </w:rPr>
        <w:t>ую</w:t>
      </w:r>
      <w:r w:rsidRPr="00EF5609">
        <w:rPr>
          <w:rFonts w:ascii="Times New Roman" w:hAnsi="Times New Roman" w:cs="Times New Roman"/>
          <w:sz w:val="24"/>
          <w:szCs w:val="24"/>
          <w:lang w:val="ru-RU"/>
        </w:rPr>
        <w:t xml:space="preserve"> Постановлением Правительства №916 от 16.12.2020.</w:t>
      </w:r>
    </w:p>
    <w:p w:rsidR="006472C4" w:rsidRDefault="006472C4" w:rsidP="003F5D83">
      <w:pPr>
        <w:spacing w:before="120" w:after="60"/>
        <w:jc w:val="center"/>
        <w:rPr>
          <w:rFonts w:ascii="Times New Roman" w:eastAsia="Arial" w:hAnsi="Times New Roman" w:cs="Times New Roman"/>
          <w:b/>
          <w:bCs/>
          <w:color w:val="000000" w:themeColor="text1"/>
          <w:sz w:val="24"/>
          <w:szCs w:val="24"/>
          <w:lang w:val="ru-RU"/>
        </w:rPr>
      </w:pPr>
    </w:p>
    <w:p w:rsidR="00BD6565" w:rsidRDefault="00BD6565" w:rsidP="003F5D83">
      <w:pPr>
        <w:spacing w:before="120" w:after="60"/>
        <w:jc w:val="center"/>
        <w:rPr>
          <w:rFonts w:ascii="Times New Roman" w:eastAsia="Arial" w:hAnsi="Times New Roman" w:cs="Times New Roman"/>
          <w:b/>
          <w:bCs/>
          <w:color w:val="000000" w:themeColor="text1"/>
          <w:sz w:val="24"/>
          <w:szCs w:val="24"/>
          <w:lang w:val="ru-RU"/>
        </w:rPr>
      </w:pPr>
    </w:p>
    <w:p w:rsidR="006472C4" w:rsidRDefault="006472C4" w:rsidP="003F5D83">
      <w:pPr>
        <w:spacing w:before="120" w:after="60"/>
        <w:jc w:val="center"/>
        <w:rPr>
          <w:rFonts w:ascii="Times New Roman" w:eastAsia="Arial" w:hAnsi="Times New Roman" w:cs="Times New Roman"/>
          <w:b/>
          <w:bCs/>
          <w:color w:val="000000" w:themeColor="text1"/>
          <w:sz w:val="24"/>
          <w:szCs w:val="24"/>
          <w:lang w:val="ru-RU"/>
        </w:rPr>
      </w:pPr>
    </w:p>
    <w:p w:rsidR="003F5D83" w:rsidRDefault="003F5D83" w:rsidP="003F5D83">
      <w:pPr>
        <w:spacing w:before="120" w:after="60"/>
        <w:jc w:val="center"/>
        <w:rPr>
          <w:rFonts w:ascii="Times New Roman" w:eastAsia="Arial" w:hAnsi="Times New Roman" w:cs="Times New Roman"/>
          <w:b/>
          <w:bCs/>
          <w:color w:val="000000" w:themeColor="text1"/>
          <w:sz w:val="24"/>
          <w:szCs w:val="24"/>
          <w:lang w:val="ru-RU"/>
        </w:rPr>
      </w:pPr>
      <w:r w:rsidRPr="004B57E7">
        <w:rPr>
          <w:rFonts w:ascii="Times New Roman" w:eastAsia="Arial" w:hAnsi="Times New Roman" w:cs="Times New Roman"/>
          <w:b/>
          <w:bCs/>
          <w:color w:val="000000" w:themeColor="text1"/>
          <w:sz w:val="24"/>
          <w:szCs w:val="24"/>
          <w:lang w:val="ru-RU"/>
        </w:rPr>
        <w:t>Таблица 2.12. Общая характеристика город</w:t>
      </w:r>
      <w:r>
        <w:rPr>
          <w:rFonts w:ascii="Times New Roman" w:eastAsia="Arial" w:hAnsi="Times New Roman" w:cs="Times New Roman"/>
          <w:b/>
          <w:bCs/>
          <w:color w:val="000000" w:themeColor="text1"/>
          <w:sz w:val="24"/>
          <w:szCs w:val="24"/>
          <w:lang w:val="ru-RU"/>
        </w:rPr>
        <w:t>ских центров</w:t>
      </w:r>
      <w:r w:rsidRPr="004B57E7">
        <w:rPr>
          <w:rFonts w:ascii="Times New Roman" w:eastAsia="Arial" w:hAnsi="Times New Roman" w:cs="Times New Roman"/>
          <w:b/>
          <w:bCs/>
          <w:color w:val="000000" w:themeColor="text1"/>
          <w:sz w:val="24"/>
          <w:szCs w:val="24"/>
          <w:lang w:val="ru-RU"/>
        </w:rPr>
        <w:t xml:space="preserve"> АТО Гагаузия</w:t>
      </w:r>
    </w:p>
    <w:p w:rsidR="006472C4" w:rsidRPr="004B57E7" w:rsidRDefault="006472C4" w:rsidP="003F5D83">
      <w:pPr>
        <w:spacing w:before="120" w:after="60"/>
        <w:jc w:val="center"/>
        <w:rPr>
          <w:rFonts w:ascii="Times New Roman" w:hAnsi="Times New Roman" w:cs="Times New Roman"/>
          <w:color w:val="000000" w:themeColor="text1"/>
          <w:sz w:val="24"/>
          <w:szCs w:val="24"/>
          <w:lang w:val="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5"/>
        <w:gridCol w:w="2445"/>
        <w:gridCol w:w="2445"/>
        <w:gridCol w:w="2446"/>
      </w:tblGrid>
      <w:tr w:rsidR="003F5D83" w:rsidRPr="0024676C" w:rsidTr="0013792B">
        <w:tc>
          <w:tcPr>
            <w:tcW w:w="244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13792B" w:rsidRDefault="003F5D83" w:rsidP="00BD6565">
            <w:pPr>
              <w:spacing w:after="0" w:line="240" w:lineRule="auto"/>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Показатель</w:t>
            </w:r>
          </w:p>
        </w:tc>
        <w:tc>
          <w:tcPr>
            <w:tcW w:w="244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13792B" w:rsidRDefault="003F5D83" w:rsidP="00BD6565">
            <w:pPr>
              <w:spacing w:after="0" w:line="240" w:lineRule="auto"/>
              <w:jc w:val="center"/>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Комрат</w:t>
            </w:r>
          </w:p>
        </w:tc>
        <w:tc>
          <w:tcPr>
            <w:tcW w:w="244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13792B" w:rsidRDefault="003F5D83" w:rsidP="00BD6565">
            <w:pPr>
              <w:spacing w:after="0" w:line="240" w:lineRule="auto"/>
              <w:jc w:val="center"/>
              <w:rPr>
                <w:rFonts w:ascii="Times New Roman" w:hAnsi="Times New Roman" w:cs="Times New Roman"/>
                <w:b/>
                <w:color w:val="000000" w:themeColor="text1"/>
                <w:sz w:val="24"/>
                <w:szCs w:val="24"/>
                <w:lang w:val="ru-RU"/>
              </w:rPr>
            </w:pPr>
            <w:r w:rsidRPr="0013792B">
              <w:rPr>
                <w:rFonts w:ascii="Times New Roman" w:eastAsia="Arial" w:hAnsi="Times New Roman" w:cs="Times New Roman"/>
                <w:b/>
                <w:color w:val="000000" w:themeColor="text1"/>
                <w:sz w:val="24"/>
                <w:szCs w:val="24"/>
                <w:lang w:val="ru-RU"/>
              </w:rPr>
              <w:t>Чадыр-Лунга</w:t>
            </w:r>
          </w:p>
        </w:tc>
        <w:tc>
          <w:tcPr>
            <w:tcW w:w="244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13792B" w:rsidRDefault="003F5D83" w:rsidP="00BD6565">
            <w:pPr>
              <w:spacing w:after="0" w:line="240" w:lineRule="auto"/>
              <w:jc w:val="center"/>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Вулканешты</w:t>
            </w:r>
          </w:p>
        </w:tc>
      </w:tr>
      <w:tr w:rsidR="003F5D83" w:rsidRPr="0024676C"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Статус</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Муниципий, столица АТО Гагаузия</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Муниципий</w:t>
            </w:r>
            <w:r w:rsidR="006472C4">
              <w:rPr>
                <w:rFonts w:ascii="Times New Roman" w:eastAsia="Arial" w:hAnsi="Times New Roman" w:cs="Times New Roman"/>
                <w:sz w:val="24"/>
                <w:szCs w:val="24"/>
                <w:lang w:val="ru-RU"/>
              </w:rPr>
              <w:t xml:space="preserve">         </w:t>
            </w:r>
            <w:r w:rsidRPr="00227904">
              <w:rPr>
                <w:rFonts w:ascii="Times New Roman" w:eastAsia="Arial" w:hAnsi="Times New Roman" w:cs="Times New Roman"/>
                <w:sz w:val="24"/>
                <w:szCs w:val="24"/>
                <w:lang w:val="ru-RU"/>
              </w:rPr>
              <w:t xml:space="preserve"> (с 2017 г.)</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Город</w:t>
            </w:r>
          </w:p>
        </w:tc>
      </w:tr>
      <w:tr w:rsidR="003F5D83" w:rsidRPr="0024676C"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Default="003F5D83" w:rsidP="00BD6565">
            <w:pPr>
              <w:spacing w:after="0" w:line="240" w:lineRule="auto"/>
              <w:rPr>
                <w:rFonts w:ascii="Times New Roman" w:eastAsia="Arial" w:hAnsi="Times New Roman" w:cs="Times New Roman"/>
                <w:sz w:val="24"/>
                <w:szCs w:val="24"/>
                <w:lang w:val="ru-RU"/>
              </w:rPr>
            </w:pPr>
            <w:r w:rsidRPr="00784AA4">
              <w:rPr>
                <w:rFonts w:ascii="Times New Roman" w:eastAsia="Arial" w:hAnsi="Times New Roman" w:cs="Times New Roman"/>
                <w:sz w:val="24"/>
                <w:szCs w:val="24"/>
                <w:lang w:val="ru-RU"/>
              </w:rPr>
              <w:t>Площадь территории</w:t>
            </w:r>
          </w:p>
          <w:p w:rsidR="00AB68D4" w:rsidRPr="00784AA4" w:rsidRDefault="00AB68D4" w:rsidP="00BD6565">
            <w:pPr>
              <w:spacing w:after="0" w:line="240" w:lineRule="auto"/>
              <w:rPr>
                <w:rFonts w:ascii="Times New Roman" w:hAnsi="Times New Roman" w:cs="Times New Roman"/>
                <w:sz w:val="24"/>
                <w:szCs w:val="24"/>
                <w:lang w:val="ru-RU"/>
              </w:rPr>
            </w:pP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164 к</w:t>
            </w:r>
            <w:r w:rsidRPr="00227904">
              <w:rPr>
                <w:rFonts w:ascii="Times New Roman" w:eastAsia="Arial" w:hAnsi="Times New Roman" w:cs="Times New Roman"/>
                <w:sz w:val="24"/>
                <w:szCs w:val="24"/>
                <w:lang w:val="ru-RU"/>
              </w:rPr>
              <w:t>м²</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105,1 км²</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152,6</w:t>
            </w:r>
            <w:r w:rsidRPr="00227904">
              <w:rPr>
                <w:rFonts w:ascii="Times New Roman" w:eastAsia="Arial" w:hAnsi="Times New Roman" w:cs="Times New Roman"/>
                <w:sz w:val="24"/>
                <w:szCs w:val="24"/>
                <w:lang w:val="ru-RU"/>
              </w:rPr>
              <w:t xml:space="preserve"> км²</w:t>
            </w:r>
          </w:p>
        </w:tc>
      </w:tr>
      <w:tr w:rsidR="003F5D83" w:rsidRPr="0024676C"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BD6565">
            <w:pPr>
              <w:spacing w:after="0" w:line="240" w:lineRule="auto"/>
              <w:rPr>
                <w:rFonts w:ascii="Times New Roman" w:eastAsia="Arial" w:hAnsi="Times New Roman" w:cs="Times New Roman"/>
                <w:sz w:val="24"/>
                <w:szCs w:val="24"/>
                <w:lang w:val="ru-RU"/>
              </w:rPr>
            </w:pPr>
            <w:r w:rsidRPr="00784AA4">
              <w:rPr>
                <w:rFonts w:ascii="Times New Roman" w:eastAsia="Arial" w:hAnsi="Times New Roman" w:cs="Times New Roman"/>
                <w:sz w:val="24"/>
                <w:szCs w:val="24"/>
                <w:lang w:val="ru-RU"/>
              </w:rPr>
              <w:t>Население</w:t>
            </w:r>
          </w:p>
          <w:p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(Перепись населения 2024 г.)</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19 120 чел.</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14 285 чел.</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10 919 чел.</w:t>
            </w:r>
          </w:p>
        </w:tc>
      </w:tr>
      <w:tr w:rsidR="003F5D83" w:rsidRPr="0024676C"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Расстояние от Кишинёва</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92 км</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137 км</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180 км</w:t>
            </w:r>
          </w:p>
        </w:tc>
      </w:tr>
      <w:tr w:rsidR="003F5D83" w:rsidRPr="0024676C"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Default="003F5D83" w:rsidP="00BD6565">
            <w:pPr>
              <w:spacing w:after="0" w:line="240" w:lineRule="auto"/>
              <w:rPr>
                <w:rFonts w:ascii="Times New Roman" w:eastAsia="Arial" w:hAnsi="Times New Roman" w:cs="Times New Roman"/>
                <w:sz w:val="24"/>
                <w:szCs w:val="24"/>
                <w:lang w:val="ru-RU"/>
              </w:rPr>
            </w:pPr>
            <w:r w:rsidRPr="00784AA4">
              <w:rPr>
                <w:rFonts w:ascii="Times New Roman" w:eastAsia="Arial" w:hAnsi="Times New Roman" w:cs="Times New Roman"/>
                <w:sz w:val="24"/>
                <w:szCs w:val="24"/>
                <w:lang w:val="ru-RU"/>
              </w:rPr>
              <w:t>Район АТО Гагаузия</w:t>
            </w:r>
          </w:p>
          <w:p w:rsidR="00AB68D4" w:rsidRPr="00784AA4" w:rsidRDefault="00AB68D4" w:rsidP="00BD6565">
            <w:pPr>
              <w:spacing w:after="0" w:line="240" w:lineRule="auto"/>
              <w:rPr>
                <w:rFonts w:ascii="Times New Roman" w:hAnsi="Times New Roman" w:cs="Times New Roman"/>
                <w:sz w:val="24"/>
                <w:szCs w:val="24"/>
                <w:lang w:val="ru-RU"/>
              </w:rPr>
            </w:pP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proofErr w:type="spellStart"/>
            <w:r w:rsidRPr="00227904">
              <w:rPr>
                <w:rFonts w:ascii="Times New Roman" w:eastAsia="Arial" w:hAnsi="Times New Roman" w:cs="Times New Roman"/>
                <w:sz w:val="24"/>
                <w:szCs w:val="24"/>
                <w:lang w:val="ru-RU"/>
              </w:rPr>
              <w:t>Комратский</w:t>
            </w:r>
            <w:proofErr w:type="spellEnd"/>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proofErr w:type="spellStart"/>
            <w:r w:rsidRPr="00227904">
              <w:rPr>
                <w:rFonts w:ascii="Times New Roman" w:eastAsia="Arial" w:hAnsi="Times New Roman" w:cs="Times New Roman"/>
                <w:sz w:val="24"/>
                <w:szCs w:val="24"/>
                <w:lang w:val="ru-RU"/>
              </w:rPr>
              <w:t>Чадыр-Лунгский</w:t>
            </w:r>
            <w:proofErr w:type="spellEnd"/>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proofErr w:type="spellStart"/>
            <w:r w:rsidRPr="00227904">
              <w:rPr>
                <w:rFonts w:ascii="Times New Roman" w:eastAsia="Arial" w:hAnsi="Times New Roman" w:cs="Times New Roman"/>
                <w:sz w:val="24"/>
                <w:szCs w:val="24"/>
                <w:lang w:val="ru-RU"/>
              </w:rPr>
              <w:t>Вулканештский</w:t>
            </w:r>
            <w:proofErr w:type="spellEnd"/>
          </w:p>
        </w:tc>
      </w:tr>
      <w:tr w:rsidR="003F5D83" w:rsidRPr="0024676C" w:rsidTr="0013792B">
        <w:trPr>
          <w:trHeight w:val="1238"/>
        </w:trPr>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Этнический состав (преобладание)</w:t>
            </w:r>
          </w:p>
        </w:tc>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0303AC" w:rsidRDefault="003F5D83" w:rsidP="00BD6565">
            <w:pPr>
              <w:spacing w:after="0" w:line="240" w:lineRule="auto"/>
              <w:rPr>
                <w:rFonts w:ascii="Times New Roman" w:eastAsia="Arial" w:hAnsi="Times New Roman" w:cs="Times New Roman"/>
                <w:sz w:val="24"/>
                <w:szCs w:val="24"/>
                <w:lang w:val="ru-RU"/>
              </w:rPr>
            </w:pPr>
            <w:r w:rsidRPr="000303AC">
              <w:rPr>
                <w:rFonts w:ascii="Times New Roman" w:eastAsia="Arial" w:hAnsi="Times New Roman" w:cs="Times New Roman"/>
                <w:sz w:val="24"/>
                <w:szCs w:val="24"/>
                <w:lang w:val="ru-RU"/>
              </w:rPr>
              <w:t>Гагаузы -7</w:t>
            </w:r>
            <w:r>
              <w:rPr>
                <w:rFonts w:ascii="Times New Roman" w:eastAsia="Arial" w:hAnsi="Times New Roman" w:cs="Times New Roman"/>
                <w:sz w:val="24"/>
                <w:szCs w:val="24"/>
                <w:lang w:val="ru-RU"/>
              </w:rPr>
              <w:t>0</w:t>
            </w:r>
            <w:r w:rsidRPr="000303AC">
              <w:rPr>
                <w:rFonts w:ascii="Times New Roman" w:eastAsia="Arial" w:hAnsi="Times New Roman" w:cs="Times New Roman"/>
                <w:sz w:val="24"/>
                <w:szCs w:val="24"/>
                <w:lang w:val="ru-RU"/>
              </w:rPr>
              <w:t>%</w:t>
            </w:r>
          </w:p>
          <w:p w:rsidR="003F5D83" w:rsidRPr="000303AC" w:rsidRDefault="003F5D83" w:rsidP="00BD6565">
            <w:pPr>
              <w:spacing w:after="0" w:line="240" w:lineRule="auto"/>
              <w:rPr>
                <w:rFonts w:ascii="Times New Roman" w:eastAsia="Arial" w:hAnsi="Times New Roman" w:cs="Times New Roman"/>
                <w:sz w:val="24"/>
                <w:szCs w:val="24"/>
                <w:lang w:val="ru-RU"/>
              </w:rPr>
            </w:pPr>
            <w:r w:rsidRPr="000303AC">
              <w:rPr>
                <w:rFonts w:ascii="Times New Roman" w:hAnsi="Times New Roman" w:cs="Times New Roman"/>
                <w:sz w:val="24"/>
                <w:szCs w:val="24"/>
                <w:lang w:val="ru-RU"/>
              </w:rPr>
              <w:t>Молдаване - 10%</w:t>
            </w:r>
          </w:p>
          <w:p w:rsidR="003F5D83" w:rsidRPr="000303AC" w:rsidRDefault="003F5D83" w:rsidP="00BD6565">
            <w:pPr>
              <w:spacing w:after="0" w:line="240" w:lineRule="auto"/>
              <w:rPr>
                <w:rFonts w:ascii="Times New Roman" w:hAnsi="Times New Roman" w:cs="Times New Roman"/>
                <w:sz w:val="24"/>
                <w:szCs w:val="24"/>
                <w:lang w:val="ru-RU"/>
              </w:rPr>
            </w:pPr>
            <w:r w:rsidRPr="000303AC">
              <w:rPr>
                <w:rFonts w:ascii="Times New Roman" w:hAnsi="Times New Roman" w:cs="Times New Roman"/>
                <w:sz w:val="24"/>
                <w:szCs w:val="24"/>
                <w:lang w:val="ru-RU"/>
              </w:rPr>
              <w:t xml:space="preserve">Русские - </w:t>
            </w:r>
            <w:r>
              <w:rPr>
                <w:rFonts w:ascii="Times New Roman" w:hAnsi="Times New Roman" w:cs="Times New Roman"/>
                <w:sz w:val="24"/>
                <w:szCs w:val="24"/>
                <w:lang w:val="ru-RU"/>
              </w:rPr>
              <w:t>10</w:t>
            </w:r>
            <w:r w:rsidRPr="000303AC">
              <w:rPr>
                <w:rFonts w:ascii="Times New Roman" w:hAnsi="Times New Roman" w:cs="Times New Roman"/>
                <w:sz w:val="24"/>
                <w:szCs w:val="24"/>
                <w:lang w:val="ru-RU"/>
              </w:rPr>
              <w:t>%</w:t>
            </w:r>
          </w:p>
          <w:p w:rsidR="003F5D83" w:rsidRPr="00227904" w:rsidRDefault="003F5D83" w:rsidP="00BD6565">
            <w:pPr>
              <w:spacing w:after="0" w:line="240" w:lineRule="auto"/>
              <w:rPr>
                <w:rFonts w:ascii="Times New Roman" w:hAnsi="Times New Roman" w:cs="Times New Roman"/>
                <w:sz w:val="24"/>
                <w:szCs w:val="24"/>
                <w:lang w:val="ru-RU"/>
              </w:rPr>
            </w:pPr>
            <w:r w:rsidRPr="000303AC">
              <w:rPr>
                <w:rFonts w:ascii="Times New Roman" w:hAnsi="Times New Roman" w:cs="Times New Roman"/>
                <w:sz w:val="24"/>
                <w:szCs w:val="24"/>
                <w:lang w:val="ru-RU"/>
              </w:rPr>
              <w:t>Болгары-5%</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Гагаузы - 73%</w:t>
            </w:r>
          </w:p>
          <w:p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 xml:space="preserve">Болгары </w:t>
            </w:r>
            <w:r w:rsidR="006472C4" w:rsidRPr="00227904">
              <w:rPr>
                <w:rFonts w:ascii="Times New Roman" w:eastAsia="Arial" w:hAnsi="Times New Roman" w:cs="Times New Roman"/>
                <w:sz w:val="24"/>
                <w:szCs w:val="24"/>
                <w:lang w:val="ru-RU"/>
              </w:rPr>
              <w:t xml:space="preserve">- </w:t>
            </w:r>
            <w:r w:rsidRPr="00227904">
              <w:rPr>
                <w:rFonts w:ascii="Times New Roman" w:eastAsia="Arial" w:hAnsi="Times New Roman" w:cs="Times New Roman"/>
                <w:sz w:val="24"/>
                <w:szCs w:val="24"/>
                <w:lang w:val="ru-RU"/>
              </w:rPr>
              <w:t>9,8</w:t>
            </w:r>
            <w:r>
              <w:rPr>
                <w:rFonts w:ascii="Times New Roman" w:eastAsia="Arial" w:hAnsi="Times New Roman" w:cs="Times New Roman"/>
                <w:sz w:val="24"/>
                <w:szCs w:val="24"/>
                <w:lang w:val="ru-RU"/>
              </w:rPr>
              <w:t>%</w:t>
            </w:r>
          </w:p>
          <w:p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Русские - 6,2</w:t>
            </w:r>
            <w:r>
              <w:rPr>
                <w:rFonts w:ascii="Times New Roman" w:eastAsia="Arial" w:hAnsi="Times New Roman" w:cs="Times New Roman"/>
                <w:sz w:val="24"/>
                <w:szCs w:val="24"/>
                <w:lang w:val="ru-RU"/>
              </w:rPr>
              <w:t>%</w:t>
            </w:r>
          </w:p>
          <w:p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Молд</w:t>
            </w:r>
            <w:r>
              <w:rPr>
                <w:rFonts w:ascii="Times New Roman" w:eastAsia="Arial" w:hAnsi="Times New Roman" w:cs="Times New Roman"/>
                <w:sz w:val="24"/>
                <w:szCs w:val="24"/>
                <w:lang w:val="ru-RU"/>
              </w:rPr>
              <w:t>а</w:t>
            </w:r>
            <w:r w:rsidRPr="00227904">
              <w:rPr>
                <w:rFonts w:ascii="Times New Roman" w:eastAsia="Arial" w:hAnsi="Times New Roman" w:cs="Times New Roman"/>
                <w:sz w:val="24"/>
                <w:szCs w:val="24"/>
                <w:lang w:val="ru-RU"/>
              </w:rPr>
              <w:t>ване - 4,4</w:t>
            </w:r>
            <w:r>
              <w:rPr>
                <w:rFonts w:ascii="Times New Roman" w:eastAsia="Arial" w:hAnsi="Times New Roman" w:cs="Times New Roman"/>
                <w:sz w:val="24"/>
                <w:szCs w:val="24"/>
                <w:lang w:val="ru-RU"/>
              </w:rPr>
              <w:t>%</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eastAsia="Arial" w:hAnsi="Times New Roman" w:cs="Times New Roman"/>
                <w:sz w:val="24"/>
                <w:szCs w:val="24"/>
                <w:lang w:val="ru-RU"/>
              </w:rPr>
            </w:pPr>
            <w:r w:rsidRPr="00227904">
              <w:rPr>
                <w:rFonts w:ascii="Times New Roman" w:eastAsia="Arial" w:hAnsi="Times New Roman" w:cs="Times New Roman"/>
                <w:sz w:val="24"/>
                <w:szCs w:val="24"/>
                <w:lang w:val="ru-RU"/>
              </w:rPr>
              <w:t xml:space="preserve">Гагаузы </w:t>
            </w:r>
            <w:r w:rsidR="006472C4" w:rsidRPr="00227904">
              <w:rPr>
                <w:rFonts w:ascii="Times New Roman" w:eastAsia="Arial" w:hAnsi="Times New Roman" w:cs="Times New Roman"/>
                <w:sz w:val="24"/>
                <w:szCs w:val="24"/>
                <w:lang w:val="ru-RU"/>
              </w:rPr>
              <w:t xml:space="preserve">- </w:t>
            </w:r>
            <w:r w:rsidRPr="00227904">
              <w:rPr>
                <w:rFonts w:ascii="Times New Roman" w:eastAsia="Arial" w:hAnsi="Times New Roman" w:cs="Times New Roman"/>
                <w:sz w:val="24"/>
                <w:szCs w:val="24"/>
                <w:lang w:val="ru-RU"/>
              </w:rPr>
              <w:t xml:space="preserve"> 70,3%</w:t>
            </w:r>
          </w:p>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Молд</w:t>
            </w:r>
            <w:r>
              <w:rPr>
                <w:rFonts w:ascii="Times New Roman" w:hAnsi="Times New Roman" w:cs="Times New Roman"/>
                <w:sz w:val="24"/>
                <w:szCs w:val="24"/>
                <w:lang w:val="ru-RU"/>
              </w:rPr>
              <w:t>а</w:t>
            </w:r>
            <w:r w:rsidRPr="00227904">
              <w:rPr>
                <w:rFonts w:ascii="Times New Roman" w:hAnsi="Times New Roman" w:cs="Times New Roman"/>
                <w:sz w:val="24"/>
                <w:szCs w:val="24"/>
                <w:lang w:val="ru-RU"/>
              </w:rPr>
              <w:t xml:space="preserve">ване </w:t>
            </w:r>
            <w:r w:rsidR="006472C4" w:rsidRPr="00227904">
              <w:rPr>
                <w:rFonts w:ascii="Times New Roman" w:eastAsia="Arial" w:hAnsi="Times New Roman" w:cs="Times New Roman"/>
                <w:sz w:val="24"/>
                <w:szCs w:val="24"/>
                <w:lang w:val="ru-RU"/>
              </w:rPr>
              <w:t xml:space="preserve">- </w:t>
            </w:r>
            <w:r w:rsidRPr="00227904">
              <w:rPr>
                <w:rFonts w:ascii="Times New Roman" w:hAnsi="Times New Roman" w:cs="Times New Roman"/>
                <w:sz w:val="24"/>
                <w:szCs w:val="24"/>
                <w:lang w:val="ru-RU"/>
              </w:rPr>
              <w:t xml:space="preserve"> 11,3</w:t>
            </w:r>
            <w:r>
              <w:rPr>
                <w:rFonts w:ascii="Times New Roman" w:hAnsi="Times New Roman" w:cs="Times New Roman"/>
                <w:sz w:val="24"/>
                <w:szCs w:val="24"/>
                <w:lang w:val="ru-RU"/>
              </w:rPr>
              <w:t>%</w:t>
            </w:r>
          </w:p>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 xml:space="preserve">Русские </w:t>
            </w:r>
            <w:r w:rsidR="006472C4" w:rsidRPr="00227904">
              <w:rPr>
                <w:rFonts w:ascii="Times New Roman" w:eastAsia="Arial" w:hAnsi="Times New Roman" w:cs="Times New Roman"/>
                <w:sz w:val="24"/>
                <w:szCs w:val="24"/>
                <w:lang w:val="ru-RU"/>
              </w:rPr>
              <w:t xml:space="preserve">- </w:t>
            </w:r>
            <w:r w:rsidRPr="00227904">
              <w:rPr>
                <w:rFonts w:ascii="Times New Roman" w:hAnsi="Times New Roman" w:cs="Times New Roman"/>
                <w:sz w:val="24"/>
                <w:szCs w:val="24"/>
                <w:lang w:val="ru-RU"/>
              </w:rPr>
              <w:t>7,7%</w:t>
            </w:r>
          </w:p>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hAnsi="Times New Roman" w:cs="Times New Roman"/>
                <w:sz w:val="24"/>
                <w:szCs w:val="24"/>
                <w:lang w:val="ru-RU"/>
              </w:rPr>
              <w:t>Украинцы -</w:t>
            </w:r>
            <w:r w:rsidR="006472C4">
              <w:rPr>
                <w:rFonts w:ascii="Times New Roman" w:hAnsi="Times New Roman" w:cs="Times New Roman"/>
                <w:sz w:val="24"/>
                <w:szCs w:val="24"/>
                <w:lang w:val="ru-RU"/>
              </w:rPr>
              <w:t xml:space="preserve"> </w:t>
            </w:r>
            <w:r w:rsidRPr="00227904">
              <w:rPr>
                <w:rFonts w:ascii="Times New Roman" w:hAnsi="Times New Roman" w:cs="Times New Roman"/>
                <w:sz w:val="24"/>
                <w:szCs w:val="24"/>
                <w:lang w:val="ru-RU"/>
              </w:rPr>
              <w:t>5,5%</w:t>
            </w:r>
          </w:p>
        </w:tc>
      </w:tr>
      <w:tr w:rsidR="003F5D83" w:rsidRPr="0024676C" w:rsidTr="0013792B">
        <w:tc>
          <w:tcPr>
            <w:tcW w:w="244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BD6565">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Наличие университета / вуза</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КГУ (университет)</w:t>
            </w:r>
          </w:p>
        </w:tc>
        <w:tc>
          <w:tcPr>
            <w:tcW w:w="2445"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Нет</w:t>
            </w:r>
          </w:p>
        </w:tc>
        <w:tc>
          <w:tcPr>
            <w:tcW w:w="244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rsidR="003F5D83" w:rsidRPr="00227904" w:rsidRDefault="003F5D83" w:rsidP="00BD6565">
            <w:pPr>
              <w:spacing w:after="0" w:line="240" w:lineRule="auto"/>
              <w:rPr>
                <w:rFonts w:ascii="Times New Roman" w:hAnsi="Times New Roman" w:cs="Times New Roman"/>
                <w:sz w:val="24"/>
                <w:szCs w:val="24"/>
                <w:lang w:val="ru-RU"/>
              </w:rPr>
            </w:pPr>
            <w:r w:rsidRPr="00227904">
              <w:rPr>
                <w:rFonts w:ascii="Times New Roman" w:eastAsia="Arial" w:hAnsi="Times New Roman" w:cs="Times New Roman"/>
                <w:sz w:val="24"/>
                <w:szCs w:val="24"/>
                <w:lang w:val="ru-RU"/>
              </w:rPr>
              <w:t>Нет</w:t>
            </w:r>
          </w:p>
        </w:tc>
      </w:tr>
    </w:tbl>
    <w:p w:rsidR="003F5D83" w:rsidRPr="00B6503E" w:rsidRDefault="003F5D83" w:rsidP="003F5D83">
      <w:pPr>
        <w:jc w:val="both"/>
        <w:rPr>
          <w:rFonts w:ascii="Times New Roman" w:hAnsi="Times New Roman" w:cs="Times New Roman"/>
          <w:i/>
          <w:iCs/>
          <w:sz w:val="16"/>
          <w:szCs w:val="16"/>
          <w:lang w:val="ru-RU"/>
        </w:rPr>
      </w:pPr>
      <w:r w:rsidRPr="00B6503E">
        <w:rPr>
          <w:rFonts w:ascii="Times New Roman" w:hAnsi="Times New Roman" w:cs="Times New Roman"/>
          <w:i/>
          <w:iCs/>
          <w:sz w:val="16"/>
          <w:szCs w:val="16"/>
          <w:lang w:val="ru-RU"/>
        </w:rPr>
        <w:t xml:space="preserve">Источник: ОМПУ и собственные расчеты, данные переписи населения от 08 апреля 2024 года </w:t>
      </w:r>
      <w:hyperlink r:id="rId31" w:history="1">
        <w:r w:rsidRPr="00B6503E">
          <w:rPr>
            <w:rStyle w:val="af0"/>
            <w:rFonts w:ascii="Times New Roman" w:hAnsi="Times New Roman" w:cs="Times New Roman"/>
            <w:i/>
            <w:iCs/>
            <w:sz w:val="16"/>
            <w:szCs w:val="16"/>
          </w:rPr>
          <w:t>https</w:t>
        </w:r>
        <w:r w:rsidRPr="00B6503E">
          <w:rPr>
            <w:rStyle w:val="af0"/>
            <w:rFonts w:ascii="Times New Roman" w:hAnsi="Times New Roman" w:cs="Times New Roman"/>
            <w:i/>
            <w:iCs/>
            <w:sz w:val="16"/>
            <w:szCs w:val="16"/>
            <w:lang w:val="ru-RU"/>
          </w:rPr>
          <w:t>://</w:t>
        </w:r>
        <w:proofErr w:type="spellStart"/>
        <w:r w:rsidRPr="00B6503E">
          <w:rPr>
            <w:rStyle w:val="af0"/>
            <w:rFonts w:ascii="Times New Roman" w:hAnsi="Times New Roman" w:cs="Times New Roman"/>
            <w:i/>
            <w:iCs/>
            <w:sz w:val="16"/>
            <w:szCs w:val="16"/>
          </w:rPr>
          <w:t>statistica</w:t>
        </w:r>
        <w:proofErr w:type="spellEnd"/>
        <w:r w:rsidRPr="00B6503E">
          <w:rPr>
            <w:rStyle w:val="af0"/>
            <w:rFonts w:ascii="Times New Roman" w:hAnsi="Times New Roman" w:cs="Times New Roman"/>
            <w:i/>
            <w:iCs/>
            <w:sz w:val="16"/>
            <w:szCs w:val="16"/>
            <w:lang w:val="ru-RU"/>
          </w:rPr>
          <w:t>.</w:t>
        </w:r>
        <w:r w:rsidRPr="00B6503E">
          <w:rPr>
            <w:rStyle w:val="af0"/>
            <w:rFonts w:ascii="Times New Roman" w:hAnsi="Times New Roman" w:cs="Times New Roman"/>
            <w:i/>
            <w:iCs/>
            <w:sz w:val="16"/>
            <w:szCs w:val="16"/>
          </w:rPr>
          <w:t>gov</w:t>
        </w:r>
        <w:r w:rsidRPr="00B6503E">
          <w:rPr>
            <w:rStyle w:val="af0"/>
            <w:rFonts w:ascii="Times New Roman" w:hAnsi="Times New Roman" w:cs="Times New Roman"/>
            <w:i/>
            <w:iCs/>
            <w:sz w:val="16"/>
            <w:szCs w:val="16"/>
            <w:lang w:val="ru-RU"/>
          </w:rPr>
          <w:t>.</w:t>
        </w:r>
        <w:r w:rsidRPr="00B6503E">
          <w:rPr>
            <w:rStyle w:val="af0"/>
            <w:rFonts w:ascii="Times New Roman" w:hAnsi="Times New Roman" w:cs="Times New Roman"/>
            <w:i/>
            <w:iCs/>
            <w:sz w:val="16"/>
            <w:szCs w:val="16"/>
          </w:rPr>
          <w:t>md</w:t>
        </w:r>
        <w:r w:rsidRPr="00B6503E">
          <w:rPr>
            <w:rStyle w:val="af0"/>
            <w:rFonts w:ascii="Times New Roman" w:hAnsi="Times New Roman" w:cs="Times New Roman"/>
            <w:i/>
            <w:iCs/>
            <w:sz w:val="16"/>
            <w:szCs w:val="16"/>
            <w:lang w:val="ru-RU"/>
          </w:rPr>
          <w:t>/</w:t>
        </w:r>
        <w:proofErr w:type="spellStart"/>
        <w:r w:rsidRPr="00B6503E">
          <w:rPr>
            <w:rStyle w:val="af0"/>
            <w:rFonts w:ascii="Times New Roman" w:hAnsi="Times New Roman" w:cs="Times New Roman"/>
            <w:i/>
            <w:iCs/>
            <w:sz w:val="16"/>
            <w:szCs w:val="16"/>
          </w:rPr>
          <w:t>ru</w:t>
        </w:r>
        <w:proofErr w:type="spellEnd"/>
        <w:r w:rsidRPr="00B6503E">
          <w:rPr>
            <w:rStyle w:val="af0"/>
            <w:rFonts w:ascii="Times New Roman" w:hAnsi="Times New Roman" w:cs="Times New Roman"/>
            <w:i/>
            <w:iCs/>
            <w:sz w:val="16"/>
            <w:szCs w:val="16"/>
            <w:lang w:val="ru-RU"/>
          </w:rPr>
          <w:t>/</w:t>
        </w:r>
        <w:r w:rsidRPr="00B6503E">
          <w:rPr>
            <w:rStyle w:val="af0"/>
            <w:rFonts w:ascii="Times New Roman" w:hAnsi="Times New Roman" w:cs="Times New Roman"/>
            <w:i/>
            <w:iCs/>
            <w:sz w:val="16"/>
            <w:szCs w:val="16"/>
          </w:rPr>
          <w:t>statistic</w:t>
        </w:r>
        <w:r w:rsidRPr="00B6503E">
          <w:rPr>
            <w:rStyle w:val="af0"/>
            <w:rFonts w:ascii="Times New Roman" w:hAnsi="Times New Roman" w:cs="Times New Roman"/>
            <w:i/>
            <w:iCs/>
            <w:sz w:val="16"/>
            <w:szCs w:val="16"/>
            <w:lang w:val="ru-RU"/>
          </w:rPr>
          <w:t>_</w:t>
        </w:r>
        <w:r w:rsidRPr="00B6503E">
          <w:rPr>
            <w:rStyle w:val="af0"/>
            <w:rFonts w:ascii="Times New Roman" w:hAnsi="Times New Roman" w:cs="Times New Roman"/>
            <w:i/>
            <w:iCs/>
            <w:sz w:val="16"/>
            <w:szCs w:val="16"/>
          </w:rPr>
          <w:t>indicator</w:t>
        </w:r>
        <w:r w:rsidRPr="00B6503E">
          <w:rPr>
            <w:rStyle w:val="af0"/>
            <w:rFonts w:ascii="Times New Roman" w:hAnsi="Times New Roman" w:cs="Times New Roman"/>
            <w:i/>
            <w:iCs/>
            <w:sz w:val="16"/>
            <w:szCs w:val="16"/>
            <w:lang w:val="ru-RU"/>
          </w:rPr>
          <w:t>_</w:t>
        </w:r>
        <w:r w:rsidRPr="00B6503E">
          <w:rPr>
            <w:rStyle w:val="af0"/>
            <w:rFonts w:ascii="Times New Roman" w:hAnsi="Times New Roman" w:cs="Times New Roman"/>
            <w:i/>
            <w:iCs/>
            <w:sz w:val="16"/>
            <w:szCs w:val="16"/>
          </w:rPr>
          <w:t>details</w:t>
        </w:r>
        <w:r w:rsidRPr="00B6503E">
          <w:rPr>
            <w:rStyle w:val="af0"/>
            <w:rFonts w:ascii="Times New Roman" w:hAnsi="Times New Roman" w:cs="Times New Roman"/>
            <w:i/>
            <w:iCs/>
            <w:sz w:val="16"/>
            <w:szCs w:val="16"/>
            <w:lang w:val="ru-RU"/>
          </w:rPr>
          <w:t>/60</w:t>
        </w:r>
      </w:hyperlink>
      <w:r w:rsidRPr="00B6503E">
        <w:rPr>
          <w:rFonts w:ascii="Times New Roman" w:hAnsi="Times New Roman" w:cs="Times New Roman"/>
          <w:i/>
          <w:iCs/>
          <w:sz w:val="16"/>
          <w:szCs w:val="16"/>
          <w:lang w:val="ru-RU"/>
        </w:rPr>
        <w:t xml:space="preserve"> </w:t>
      </w:r>
    </w:p>
    <w:p w:rsidR="00346506" w:rsidRDefault="00346506" w:rsidP="003F5D83">
      <w:pPr>
        <w:spacing w:after="0" w:line="240" w:lineRule="auto"/>
        <w:ind w:firstLine="709"/>
        <w:jc w:val="both"/>
        <w:rPr>
          <w:rFonts w:ascii="Times New Roman" w:hAnsi="Times New Roman" w:cs="Times New Roman"/>
          <w:sz w:val="24"/>
          <w:szCs w:val="24"/>
          <w:lang w:val="ru-RU"/>
        </w:rPr>
      </w:pP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Отток трудоспособного населения является системной проблемой всех трёх городов. Наиболее чувствительна к оттоку молодёжь — выпускники общеобразовательных школ, уезжающие на учёбу и работу преимущественно в Кишинёв и страны ЕС (Румынию, Италию, Германию). Возврат специалистов практически не фиксируется из-за низкого уровня заработных плат и ограниченных карьерных возможностей на местном рынке труда.</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Комрат имеет определённые преимущества за счёт университета (КГУ): ежегодно более 600 человек заканчивают профтехучилище, колледж или КГУ. Однако значительная часть выпускников уезжает после получения диплома. Программа Плана экономического развития </w:t>
      </w:r>
      <w:proofErr w:type="spellStart"/>
      <w:r w:rsidRPr="00EF5609">
        <w:rPr>
          <w:rFonts w:ascii="Times New Roman" w:hAnsi="Times New Roman" w:cs="Times New Roman"/>
          <w:sz w:val="24"/>
          <w:szCs w:val="24"/>
          <w:lang w:val="ru-RU"/>
        </w:rPr>
        <w:t>мун</w:t>
      </w:r>
      <w:proofErr w:type="spellEnd"/>
      <w:r w:rsidRPr="00EF5609">
        <w:rPr>
          <w:rFonts w:ascii="Times New Roman" w:hAnsi="Times New Roman" w:cs="Times New Roman"/>
          <w:sz w:val="24"/>
          <w:szCs w:val="24"/>
          <w:lang w:val="ru-RU"/>
        </w:rPr>
        <w:t>. Комрат 2025–2027 предусматривает создание механизмов удержания молодёжи через развитие инфраструктуры поддержки бизнеса и улучшение городской среды.</w:t>
      </w:r>
    </w:p>
    <w:p w:rsidR="003F5D83" w:rsidRDefault="003F5D83" w:rsidP="003F5D83">
      <w:pPr>
        <w:spacing w:after="0" w:line="240" w:lineRule="auto"/>
        <w:rPr>
          <w:rFonts w:ascii="Times New Roman" w:hAnsi="Times New Roman" w:cs="Times New Roman"/>
          <w:b/>
          <w:bCs/>
          <w:sz w:val="24"/>
          <w:szCs w:val="24"/>
          <w:lang w:val="ru-RU"/>
        </w:rPr>
      </w:pPr>
    </w:p>
    <w:p w:rsidR="00BD6565" w:rsidRDefault="00BD6565" w:rsidP="003F5D83">
      <w:pPr>
        <w:spacing w:after="0" w:line="240" w:lineRule="auto"/>
        <w:rPr>
          <w:rFonts w:ascii="Times New Roman" w:hAnsi="Times New Roman" w:cs="Times New Roman"/>
          <w:b/>
          <w:bCs/>
          <w:sz w:val="24"/>
          <w:szCs w:val="24"/>
          <w:lang w:val="ru-RU"/>
        </w:rPr>
      </w:pPr>
    </w:p>
    <w:p w:rsidR="00346506" w:rsidRDefault="00346506" w:rsidP="003F5D83">
      <w:pPr>
        <w:spacing w:after="0" w:line="240" w:lineRule="auto"/>
        <w:rPr>
          <w:rFonts w:ascii="Times New Roman" w:hAnsi="Times New Roman" w:cs="Times New Roman"/>
          <w:b/>
          <w:bCs/>
          <w:sz w:val="24"/>
          <w:szCs w:val="24"/>
          <w:lang w:val="ru-RU"/>
        </w:rPr>
      </w:pPr>
    </w:p>
    <w:p w:rsidR="00346506" w:rsidRDefault="00346506" w:rsidP="003F5D83">
      <w:pPr>
        <w:spacing w:after="0" w:line="240" w:lineRule="auto"/>
        <w:rPr>
          <w:rFonts w:ascii="Times New Roman" w:hAnsi="Times New Roman" w:cs="Times New Roman"/>
          <w:b/>
          <w:bCs/>
          <w:sz w:val="24"/>
          <w:szCs w:val="24"/>
          <w:lang w:val="ru-RU"/>
        </w:rPr>
      </w:pPr>
    </w:p>
    <w:p w:rsidR="00346506" w:rsidRDefault="00346506" w:rsidP="003F5D83">
      <w:pPr>
        <w:spacing w:after="0" w:line="240" w:lineRule="auto"/>
        <w:rPr>
          <w:rFonts w:ascii="Times New Roman" w:hAnsi="Times New Roman" w:cs="Times New Roman"/>
          <w:b/>
          <w:bCs/>
          <w:sz w:val="24"/>
          <w:szCs w:val="24"/>
          <w:lang w:val="ru-RU"/>
        </w:rPr>
      </w:pPr>
    </w:p>
    <w:p w:rsidR="003F5D83" w:rsidRPr="00EF5609" w:rsidRDefault="003F5D83" w:rsidP="003F5D83">
      <w:pPr>
        <w:spacing w:after="0" w:line="240" w:lineRule="auto"/>
        <w:rPr>
          <w:rFonts w:ascii="Times New Roman" w:hAnsi="Times New Roman" w:cs="Times New Roman"/>
          <w:b/>
          <w:bCs/>
          <w:sz w:val="24"/>
          <w:szCs w:val="24"/>
          <w:lang w:val="ru-RU"/>
        </w:rPr>
      </w:pPr>
      <w:r w:rsidRPr="00EF5609">
        <w:rPr>
          <w:rFonts w:ascii="Times New Roman" w:hAnsi="Times New Roman" w:cs="Times New Roman"/>
          <w:b/>
          <w:bCs/>
          <w:sz w:val="24"/>
          <w:szCs w:val="24"/>
          <w:lang w:val="ru-RU"/>
        </w:rPr>
        <w:t>Структура экономики</w:t>
      </w:r>
      <w:r>
        <w:rPr>
          <w:rFonts w:ascii="Times New Roman" w:hAnsi="Times New Roman" w:cs="Times New Roman"/>
          <w:b/>
          <w:bCs/>
          <w:sz w:val="24"/>
          <w:szCs w:val="24"/>
          <w:lang w:val="ru-RU"/>
        </w:rPr>
        <w:t xml:space="preserve"> городских центров</w:t>
      </w:r>
    </w:p>
    <w:p w:rsidR="002E79D5" w:rsidRDefault="002E79D5" w:rsidP="003F5D83">
      <w:pPr>
        <w:spacing w:after="0" w:line="240" w:lineRule="auto"/>
        <w:ind w:firstLine="709"/>
        <w:jc w:val="both"/>
        <w:rPr>
          <w:rFonts w:ascii="Times New Roman" w:hAnsi="Times New Roman" w:cs="Times New Roman"/>
          <w:sz w:val="24"/>
          <w:szCs w:val="24"/>
          <w:lang w:val="ru-RU"/>
        </w:rPr>
      </w:pP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Экономическая база АТО Гагаузия традиционно опирается на агропромышленный сектор, торговлю и сферу услуг.</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Комрат является крупнейшим экономическим центром автономии. По состоянию на 2025 год здесь было зарегистрировано 738 экономических агентов, что в расчёте на 1 000 </w:t>
      </w:r>
      <w:r w:rsidRPr="00EF5609">
        <w:rPr>
          <w:rFonts w:ascii="Times New Roman" w:hAnsi="Times New Roman" w:cs="Times New Roman"/>
          <w:sz w:val="24"/>
          <w:szCs w:val="24"/>
          <w:lang w:val="ru-RU"/>
        </w:rPr>
        <w:lastRenderedPageBreak/>
        <w:t>населения составляет 38,6 предприятий. Ведущие отрасли: оптовая и розничная торговля (23%), сфера общественного питания (13%), сельское хозяйство и переработка (19%), промышленность (10%), фармацевтика и медицина (7%).</w:t>
      </w:r>
      <w:r>
        <w:rPr>
          <w:rFonts w:ascii="Times New Roman" w:hAnsi="Times New Roman" w:cs="Times New Roman"/>
          <w:sz w:val="24"/>
          <w:szCs w:val="24"/>
          <w:lang w:val="ru-RU"/>
        </w:rPr>
        <w:t xml:space="preserve"> Удобное географическое расположение и наличие новой дорожной инфраструктуры делает Комрат важным </w:t>
      </w:r>
      <w:r w:rsidRPr="005358C1">
        <w:rPr>
          <w:rFonts w:ascii="Times New Roman" w:hAnsi="Times New Roman" w:cs="Times New Roman"/>
          <w:sz w:val="24"/>
          <w:szCs w:val="24"/>
          <w:lang w:val="ru-RU"/>
        </w:rPr>
        <w:t xml:space="preserve">транспортным узлом </w:t>
      </w:r>
      <w:r>
        <w:rPr>
          <w:rFonts w:ascii="Times New Roman" w:hAnsi="Times New Roman" w:cs="Times New Roman"/>
          <w:sz w:val="24"/>
          <w:szCs w:val="24"/>
          <w:lang w:val="ru-RU"/>
        </w:rPr>
        <w:t xml:space="preserve">на юге страны, связывающим Кишинёв с портом </w:t>
      </w:r>
      <w:proofErr w:type="spellStart"/>
      <w:r>
        <w:rPr>
          <w:rFonts w:ascii="Times New Roman" w:hAnsi="Times New Roman" w:cs="Times New Roman"/>
          <w:sz w:val="24"/>
          <w:szCs w:val="24"/>
          <w:lang w:val="ru-RU"/>
        </w:rPr>
        <w:t>Джурджулешты</w:t>
      </w:r>
      <w:proofErr w:type="spellEnd"/>
      <w:r>
        <w:rPr>
          <w:rFonts w:ascii="Times New Roman" w:hAnsi="Times New Roman" w:cs="Times New Roman"/>
          <w:sz w:val="24"/>
          <w:szCs w:val="24"/>
          <w:lang w:val="ru-RU"/>
        </w:rPr>
        <w:t xml:space="preserve"> и городами южной части Одесской области Украины, а также города Бессарабка, Чадыр-Лунга, Тараклия, Вулканешты, Кантемир, </w:t>
      </w:r>
      <w:proofErr w:type="spellStart"/>
      <w:r>
        <w:rPr>
          <w:rFonts w:ascii="Times New Roman" w:hAnsi="Times New Roman" w:cs="Times New Roman"/>
          <w:sz w:val="24"/>
          <w:szCs w:val="24"/>
          <w:lang w:val="ru-RU"/>
        </w:rPr>
        <w:t>Кагул</w:t>
      </w:r>
      <w:proofErr w:type="spellEnd"/>
      <w:r>
        <w:rPr>
          <w:rFonts w:ascii="Times New Roman" w:hAnsi="Times New Roman" w:cs="Times New Roman"/>
          <w:sz w:val="24"/>
          <w:szCs w:val="24"/>
          <w:lang w:val="ru-RU"/>
        </w:rPr>
        <w:t>.</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Чадыр-Лунга располагает диверсифицированной промышленной базой: предприятия лёгкой промышленности, переработки сельхозпродукции, производство строительных материалов. По состоянию на 2025 год здесь было зарегистрировано 435 экономических агентов, что в расчёте на 1 000 </w:t>
      </w:r>
      <w:r>
        <w:rPr>
          <w:rFonts w:ascii="Times New Roman" w:hAnsi="Times New Roman" w:cs="Times New Roman"/>
          <w:sz w:val="24"/>
          <w:szCs w:val="24"/>
          <w:lang w:val="ru-RU"/>
        </w:rPr>
        <w:t xml:space="preserve">человек </w:t>
      </w:r>
      <w:r w:rsidRPr="00EF5609">
        <w:rPr>
          <w:rFonts w:ascii="Times New Roman" w:hAnsi="Times New Roman" w:cs="Times New Roman"/>
          <w:sz w:val="24"/>
          <w:szCs w:val="24"/>
          <w:lang w:val="ru-RU"/>
        </w:rPr>
        <w:t xml:space="preserve">населения составляет 30,4 предприятий. Ведущие отрасли: оптовая и розничная торговля (46,7%), промышленность (11%), сфера общественного питания (8%), сельское хозяйство и переработка (5,5%), фармацевтика и медицина (3,9%). Стратегически значимым объектом является Бизнес-инкубатор (функционирует с 2014 года), завершается строительство производственных площадей в 5 200 м², </w:t>
      </w:r>
      <w:r>
        <w:rPr>
          <w:rFonts w:ascii="Times New Roman" w:hAnsi="Times New Roman" w:cs="Times New Roman"/>
          <w:sz w:val="24"/>
          <w:szCs w:val="24"/>
          <w:lang w:val="ru-RU"/>
        </w:rPr>
        <w:t>где</w:t>
      </w:r>
      <w:r w:rsidRPr="00EF5609">
        <w:rPr>
          <w:rFonts w:ascii="Times New Roman" w:hAnsi="Times New Roman" w:cs="Times New Roman"/>
          <w:sz w:val="24"/>
          <w:szCs w:val="24"/>
          <w:lang w:val="ru-RU"/>
        </w:rPr>
        <w:t xml:space="preserve"> планируется обеспечить до </w:t>
      </w:r>
      <w:r>
        <w:rPr>
          <w:rFonts w:ascii="Times New Roman" w:hAnsi="Times New Roman" w:cs="Times New Roman"/>
          <w:sz w:val="24"/>
          <w:szCs w:val="24"/>
          <w:lang w:val="ru-RU"/>
        </w:rPr>
        <w:t>5</w:t>
      </w:r>
      <w:r w:rsidRPr="00EF5609">
        <w:rPr>
          <w:rFonts w:ascii="Times New Roman" w:hAnsi="Times New Roman" w:cs="Times New Roman"/>
          <w:sz w:val="24"/>
          <w:szCs w:val="24"/>
          <w:lang w:val="ru-RU"/>
        </w:rPr>
        <w:t xml:space="preserve">00 </w:t>
      </w:r>
      <w:r>
        <w:rPr>
          <w:rFonts w:ascii="Times New Roman" w:hAnsi="Times New Roman" w:cs="Times New Roman"/>
          <w:sz w:val="24"/>
          <w:szCs w:val="24"/>
          <w:lang w:val="ru-RU"/>
        </w:rPr>
        <w:t xml:space="preserve">новых </w:t>
      </w:r>
      <w:r w:rsidRPr="00EF5609">
        <w:rPr>
          <w:rFonts w:ascii="Times New Roman" w:hAnsi="Times New Roman" w:cs="Times New Roman"/>
          <w:sz w:val="24"/>
          <w:szCs w:val="24"/>
          <w:lang w:val="ru-RU"/>
        </w:rPr>
        <w:t>рабочих мест. Город расположен на пересечении дорог, связывающих Комрат, Тараклию и 2 КПП на границе с Украиной</w:t>
      </w:r>
      <w:r>
        <w:rPr>
          <w:rFonts w:ascii="Times New Roman" w:hAnsi="Times New Roman" w:cs="Times New Roman"/>
          <w:sz w:val="24"/>
          <w:szCs w:val="24"/>
          <w:lang w:val="ru-RU"/>
        </w:rPr>
        <w:t>, при этом качество дорог остаётся худшим в регионе.</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Вулканешты отличаются высокой концентрацией промышленных объектов в индустриальной зоне: производство строительной сетки, изделий из карбонового пластика для автомобильной промышленности, оптовая торговля дизельным топливом, производство белка из гороха. Число экономических агентов выросло со 188 (2023 г.) до 225 (2024/2025 г.). Ведущие отрасли: оптовая и розничная торговля (66,2%), сфера общественного питания (11,6%), фармацевтика и медицина (6,2%). </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Промышленный парк Комрата обладает значительными резервами свободных земель для инвестиций. Свободная экономическая зона «</w:t>
      </w:r>
      <w:proofErr w:type="spellStart"/>
      <w:r w:rsidRPr="00EF5609">
        <w:rPr>
          <w:rFonts w:ascii="Times New Roman" w:hAnsi="Times New Roman" w:cs="Times New Roman"/>
          <w:sz w:val="24"/>
          <w:szCs w:val="24"/>
          <w:lang w:val="ru-RU"/>
        </w:rPr>
        <w:t>Валканеш</w:t>
      </w:r>
      <w:proofErr w:type="spellEnd"/>
      <w:r w:rsidRPr="00EF5609">
        <w:rPr>
          <w:rFonts w:ascii="Times New Roman" w:hAnsi="Times New Roman" w:cs="Times New Roman"/>
          <w:sz w:val="24"/>
          <w:szCs w:val="24"/>
          <w:lang w:val="ru-RU"/>
        </w:rPr>
        <w:t>» в Вулканештах функционирует как площадка для производственных предприятий. Вместе с тем инвестиционную привлекательность всех трёх городов сдерживает ряд общих ограничений: устаревшая коммунальная инфраструктура, дефицит квалифицированной рабочей силы, отсутствие современного жилья и сервисов</w:t>
      </w:r>
      <w:r>
        <w:rPr>
          <w:rFonts w:ascii="Times New Roman" w:hAnsi="Times New Roman" w:cs="Times New Roman"/>
          <w:sz w:val="24"/>
          <w:szCs w:val="24"/>
          <w:lang w:val="ru-RU"/>
        </w:rPr>
        <w:t xml:space="preserve"> для молодых специалистов и</w:t>
      </w:r>
      <w:r w:rsidRPr="00EF5609">
        <w:rPr>
          <w:rFonts w:ascii="Times New Roman" w:hAnsi="Times New Roman" w:cs="Times New Roman"/>
          <w:sz w:val="24"/>
          <w:szCs w:val="24"/>
          <w:lang w:val="ru-RU"/>
        </w:rPr>
        <w:t xml:space="preserve"> необходимых для привлечения иностранных специалистов.</w:t>
      </w:r>
    </w:p>
    <w:p w:rsidR="003F5D83" w:rsidRDefault="003F5D83" w:rsidP="00AB68D4">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Природный ресурсный потенциал Комрата включает 4 месторождения строительного сырья (глина, кварцевый песок, керамзит) с суммарными запасами в десятки тысяч м³. Высокий потенциал солнечной энергии (1 320–1 420 </w:t>
      </w:r>
      <w:proofErr w:type="spellStart"/>
      <w:r w:rsidRPr="00EF5609">
        <w:rPr>
          <w:rFonts w:ascii="Times New Roman" w:hAnsi="Times New Roman" w:cs="Times New Roman"/>
          <w:sz w:val="24"/>
          <w:szCs w:val="24"/>
          <w:lang w:val="ru-RU"/>
        </w:rPr>
        <w:t>кВт·ч</w:t>
      </w:r>
      <w:proofErr w:type="spellEnd"/>
      <w:r w:rsidRPr="00EF5609">
        <w:rPr>
          <w:rFonts w:ascii="Times New Roman" w:hAnsi="Times New Roman" w:cs="Times New Roman"/>
          <w:sz w:val="24"/>
          <w:szCs w:val="24"/>
          <w:lang w:val="ru-RU"/>
        </w:rPr>
        <w:t>/м²/год) при наличии государственной поддержки может стать основой для развития возобновляемой энергетики.</w:t>
      </w:r>
    </w:p>
    <w:p w:rsidR="00BD6565" w:rsidRPr="00EF5609" w:rsidRDefault="00BD6565" w:rsidP="003F5D83">
      <w:pPr>
        <w:spacing w:after="0" w:line="240" w:lineRule="auto"/>
        <w:ind w:firstLine="709"/>
        <w:jc w:val="both"/>
        <w:rPr>
          <w:rFonts w:ascii="Times New Roman" w:hAnsi="Times New Roman" w:cs="Times New Roman"/>
          <w:sz w:val="24"/>
          <w:szCs w:val="24"/>
          <w:lang w:val="ru-RU"/>
        </w:rPr>
      </w:pPr>
    </w:p>
    <w:p w:rsidR="003F5D83" w:rsidRPr="00EF5609" w:rsidRDefault="003F5D83" w:rsidP="003F5D83">
      <w:pPr>
        <w:spacing w:after="0" w:line="240" w:lineRule="auto"/>
        <w:jc w:val="both"/>
        <w:rPr>
          <w:rFonts w:ascii="Times New Roman" w:hAnsi="Times New Roman" w:cs="Times New Roman"/>
          <w:b/>
          <w:bCs/>
          <w:sz w:val="24"/>
          <w:szCs w:val="24"/>
          <w:lang w:val="ru-RU"/>
        </w:rPr>
      </w:pPr>
      <w:r w:rsidRPr="00EF5609">
        <w:rPr>
          <w:rFonts w:ascii="Times New Roman" w:eastAsia="Arial" w:hAnsi="Times New Roman" w:cs="Times New Roman"/>
          <w:b/>
          <w:bCs/>
          <w:sz w:val="24"/>
          <w:szCs w:val="24"/>
          <w:lang w:val="ru-RU"/>
        </w:rPr>
        <w:t>Образование и культура</w:t>
      </w:r>
    </w:p>
    <w:p w:rsidR="002E79D5" w:rsidRDefault="002E79D5" w:rsidP="003F5D83">
      <w:pPr>
        <w:spacing w:after="0" w:line="240" w:lineRule="auto"/>
        <w:ind w:firstLine="709"/>
        <w:jc w:val="both"/>
        <w:rPr>
          <w:rFonts w:ascii="Times New Roman" w:hAnsi="Times New Roman" w:cs="Times New Roman"/>
          <w:sz w:val="24"/>
          <w:szCs w:val="24"/>
          <w:lang w:val="ru-RU"/>
        </w:rPr>
      </w:pP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Все три города обладают развитой сетью образовательных учреждений, хотя и с различной степенью охвата. Комрат является образовательным центром АТО Гагаузии: здесь </w:t>
      </w:r>
      <w:r>
        <w:rPr>
          <w:rFonts w:ascii="Times New Roman" w:hAnsi="Times New Roman" w:cs="Times New Roman"/>
          <w:sz w:val="24"/>
          <w:szCs w:val="24"/>
          <w:lang w:val="ru-RU"/>
        </w:rPr>
        <w:t xml:space="preserve">расположен Научный центр им. </w:t>
      </w:r>
      <w:proofErr w:type="spellStart"/>
      <w:r>
        <w:rPr>
          <w:rFonts w:ascii="Times New Roman" w:hAnsi="Times New Roman" w:cs="Times New Roman"/>
          <w:sz w:val="24"/>
          <w:szCs w:val="24"/>
          <w:lang w:val="ru-RU"/>
        </w:rPr>
        <w:t>Маруневич</w:t>
      </w:r>
      <w:proofErr w:type="spellEnd"/>
      <w:r>
        <w:rPr>
          <w:rFonts w:ascii="Times New Roman" w:hAnsi="Times New Roman" w:cs="Times New Roman"/>
          <w:sz w:val="24"/>
          <w:szCs w:val="24"/>
          <w:lang w:val="ru-RU"/>
        </w:rPr>
        <w:t>,</w:t>
      </w:r>
      <w:r w:rsidRPr="00EF5609">
        <w:rPr>
          <w:rFonts w:ascii="Times New Roman" w:hAnsi="Times New Roman" w:cs="Times New Roman"/>
          <w:sz w:val="24"/>
          <w:szCs w:val="24"/>
          <w:lang w:val="ru-RU"/>
        </w:rPr>
        <w:t xml:space="preserve"> </w:t>
      </w:r>
      <w:proofErr w:type="spellStart"/>
      <w:r w:rsidRPr="00EF5609">
        <w:rPr>
          <w:rFonts w:ascii="Times New Roman" w:hAnsi="Times New Roman" w:cs="Times New Roman"/>
          <w:sz w:val="24"/>
          <w:szCs w:val="24"/>
          <w:lang w:val="ru-RU"/>
        </w:rPr>
        <w:t>Комратский</w:t>
      </w:r>
      <w:proofErr w:type="spellEnd"/>
      <w:r w:rsidRPr="00EF5609">
        <w:rPr>
          <w:rFonts w:ascii="Times New Roman" w:hAnsi="Times New Roman" w:cs="Times New Roman"/>
          <w:sz w:val="24"/>
          <w:szCs w:val="24"/>
          <w:lang w:val="ru-RU"/>
        </w:rPr>
        <w:t xml:space="preserve"> государственный университет (КГУ), ежегодно выпускающий около 480 специалистов</w:t>
      </w:r>
      <w:r>
        <w:rPr>
          <w:rFonts w:ascii="Times New Roman" w:hAnsi="Times New Roman" w:cs="Times New Roman"/>
          <w:sz w:val="24"/>
          <w:szCs w:val="24"/>
          <w:lang w:val="ru-RU"/>
        </w:rPr>
        <w:t>,</w:t>
      </w:r>
      <w:r w:rsidRPr="00DD5940">
        <w:rPr>
          <w:rFonts w:ascii="Times New Roman" w:hAnsi="Times New Roman" w:cs="Times New Roman"/>
          <w:sz w:val="24"/>
          <w:szCs w:val="24"/>
          <w:lang w:val="ru-RU"/>
        </w:rPr>
        <w:t xml:space="preserve"> </w:t>
      </w:r>
      <w:r w:rsidRPr="00EF5609">
        <w:rPr>
          <w:rFonts w:ascii="Times New Roman" w:hAnsi="Times New Roman" w:cs="Times New Roman"/>
          <w:sz w:val="24"/>
          <w:szCs w:val="24"/>
          <w:lang w:val="ru-RU"/>
        </w:rPr>
        <w:t xml:space="preserve">функционируют педагогический колледж </w:t>
      </w:r>
      <w:r w:rsidR="0013792B">
        <w:rPr>
          <w:rFonts w:ascii="Times New Roman" w:hAnsi="Times New Roman" w:cs="Times New Roman"/>
          <w:sz w:val="24"/>
          <w:szCs w:val="24"/>
          <w:lang w:val="ru-RU"/>
        </w:rPr>
        <w:t xml:space="preserve">им. М. </w:t>
      </w:r>
      <w:proofErr w:type="spellStart"/>
      <w:r w:rsidR="0013792B">
        <w:rPr>
          <w:rFonts w:ascii="Times New Roman" w:hAnsi="Times New Roman" w:cs="Times New Roman"/>
          <w:sz w:val="24"/>
          <w:szCs w:val="24"/>
          <w:lang w:val="ru-RU"/>
        </w:rPr>
        <w:t>Чакира</w:t>
      </w:r>
      <w:proofErr w:type="spellEnd"/>
      <w:r w:rsidR="0013792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 </w:t>
      </w:r>
      <w:r w:rsidRPr="00EF5609">
        <w:rPr>
          <w:rFonts w:ascii="Times New Roman" w:hAnsi="Times New Roman" w:cs="Times New Roman"/>
          <w:sz w:val="24"/>
          <w:szCs w:val="24"/>
          <w:lang w:val="ru-RU"/>
        </w:rPr>
        <w:t>профессиональное техническое училище. Это уникальное преимущество позволяет городу сохранять и воспроизводить кадровый потенциал.</w:t>
      </w:r>
      <w:r>
        <w:rPr>
          <w:rFonts w:ascii="Times New Roman" w:hAnsi="Times New Roman" w:cs="Times New Roman"/>
          <w:sz w:val="24"/>
          <w:szCs w:val="24"/>
          <w:lang w:val="ru-RU"/>
        </w:rPr>
        <w:t xml:space="preserve"> Здесь же действуют культурные учреждения – </w:t>
      </w:r>
      <w:proofErr w:type="spellStart"/>
      <w:r>
        <w:rPr>
          <w:rFonts w:ascii="Times New Roman" w:hAnsi="Times New Roman" w:cs="Times New Roman"/>
          <w:sz w:val="24"/>
          <w:szCs w:val="24"/>
          <w:lang w:val="ru-RU"/>
        </w:rPr>
        <w:t>Комратский</w:t>
      </w:r>
      <w:proofErr w:type="spellEnd"/>
      <w:r>
        <w:rPr>
          <w:rFonts w:ascii="Times New Roman" w:hAnsi="Times New Roman" w:cs="Times New Roman"/>
          <w:sz w:val="24"/>
          <w:szCs w:val="24"/>
          <w:lang w:val="ru-RU"/>
        </w:rPr>
        <w:t xml:space="preserve"> драматический Театр, Дом творчества, художественная и музыкальная школы, Региональная картинная галерея.</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Чадыр-Лунга располагает Профессиональной школой, Школой Искусств и Гагаузским национальным театром. </w:t>
      </w:r>
    </w:p>
    <w:p w:rsidR="003F5D83"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В Вулканештах функциониру</w:t>
      </w:r>
      <w:r>
        <w:rPr>
          <w:rFonts w:ascii="Times New Roman" w:hAnsi="Times New Roman" w:cs="Times New Roman"/>
          <w:sz w:val="24"/>
          <w:szCs w:val="24"/>
          <w:lang w:val="ru-RU"/>
        </w:rPr>
        <w:t>е</w:t>
      </w:r>
      <w:r w:rsidRPr="00EF5609">
        <w:rPr>
          <w:rFonts w:ascii="Times New Roman" w:hAnsi="Times New Roman" w:cs="Times New Roman"/>
          <w:sz w:val="24"/>
          <w:szCs w:val="24"/>
          <w:lang w:val="ru-RU"/>
        </w:rPr>
        <w:t xml:space="preserve">т </w:t>
      </w:r>
      <w:r>
        <w:rPr>
          <w:rFonts w:ascii="Times New Roman" w:hAnsi="Times New Roman" w:cs="Times New Roman"/>
          <w:sz w:val="24"/>
          <w:szCs w:val="24"/>
          <w:lang w:val="ru-RU"/>
        </w:rPr>
        <w:t xml:space="preserve">филиал </w:t>
      </w:r>
      <w:proofErr w:type="spellStart"/>
      <w:r>
        <w:rPr>
          <w:rFonts w:ascii="Times New Roman" w:hAnsi="Times New Roman" w:cs="Times New Roman"/>
          <w:sz w:val="24"/>
          <w:szCs w:val="24"/>
          <w:lang w:val="ru-RU"/>
        </w:rPr>
        <w:t>Чадыр-Лунгского</w:t>
      </w:r>
      <w:proofErr w:type="spellEnd"/>
      <w:r>
        <w:rPr>
          <w:rFonts w:ascii="Times New Roman" w:hAnsi="Times New Roman" w:cs="Times New Roman"/>
          <w:sz w:val="24"/>
          <w:szCs w:val="24"/>
          <w:lang w:val="ru-RU"/>
        </w:rPr>
        <w:t xml:space="preserve"> профессионального училища, а также Детский Дом творчества.</w:t>
      </w:r>
    </w:p>
    <w:p w:rsidR="002E79D5" w:rsidRDefault="002E79D5" w:rsidP="00346506">
      <w:pPr>
        <w:spacing w:after="0" w:line="240" w:lineRule="auto"/>
        <w:rPr>
          <w:rFonts w:ascii="Times New Roman" w:eastAsia="Arial" w:hAnsi="Times New Roman" w:cs="Times New Roman"/>
          <w:b/>
          <w:bCs/>
          <w:color w:val="000000" w:themeColor="text1"/>
          <w:sz w:val="24"/>
          <w:szCs w:val="24"/>
          <w:lang w:val="ru-RU"/>
        </w:rPr>
      </w:pPr>
    </w:p>
    <w:p w:rsidR="002E79D5" w:rsidRDefault="002E79D5" w:rsidP="003F5D83">
      <w:pPr>
        <w:spacing w:after="0" w:line="240" w:lineRule="auto"/>
        <w:jc w:val="center"/>
        <w:rPr>
          <w:rFonts w:ascii="Times New Roman" w:eastAsia="Arial" w:hAnsi="Times New Roman" w:cs="Times New Roman"/>
          <w:b/>
          <w:bCs/>
          <w:color w:val="000000" w:themeColor="text1"/>
          <w:sz w:val="24"/>
          <w:szCs w:val="24"/>
          <w:lang w:val="ru-RU"/>
        </w:rPr>
      </w:pPr>
    </w:p>
    <w:p w:rsidR="003F5D83" w:rsidRDefault="003F5D83" w:rsidP="003F5D83">
      <w:pPr>
        <w:spacing w:after="0" w:line="240" w:lineRule="auto"/>
        <w:jc w:val="center"/>
        <w:rPr>
          <w:rFonts w:ascii="Times New Roman" w:eastAsia="Arial" w:hAnsi="Times New Roman" w:cs="Times New Roman"/>
          <w:b/>
          <w:bCs/>
          <w:color w:val="000000" w:themeColor="text1"/>
          <w:sz w:val="24"/>
          <w:szCs w:val="24"/>
          <w:lang w:val="ru-RU"/>
        </w:rPr>
      </w:pPr>
      <w:r w:rsidRPr="0030188F">
        <w:rPr>
          <w:rFonts w:ascii="Times New Roman" w:eastAsia="Arial" w:hAnsi="Times New Roman" w:cs="Times New Roman"/>
          <w:b/>
          <w:bCs/>
          <w:color w:val="000000" w:themeColor="text1"/>
          <w:sz w:val="24"/>
          <w:szCs w:val="24"/>
          <w:lang w:val="ru-RU"/>
        </w:rPr>
        <w:t>Таблица 2.13. Социальная инфраструктура городов АТО Гагаузия</w:t>
      </w:r>
    </w:p>
    <w:p w:rsidR="0013792B" w:rsidRPr="004B57E7" w:rsidRDefault="0013792B" w:rsidP="003F5D83">
      <w:pPr>
        <w:spacing w:after="0" w:line="240" w:lineRule="auto"/>
        <w:jc w:val="center"/>
        <w:rPr>
          <w:rFonts w:ascii="Times New Roman" w:hAnsi="Times New Roman" w:cs="Times New Roman"/>
          <w:color w:val="000000" w:themeColor="text1"/>
          <w:sz w:val="24"/>
          <w:szCs w:val="24"/>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47"/>
        <w:gridCol w:w="2395"/>
        <w:gridCol w:w="2424"/>
        <w:gridCol w:w="2410"/>
      </w:tblGrid>
      <w:tr w:rsidR="0013792B" w:rsidRPr="00B72A23" w:rsidTr="003F5D83">
        <w:tc>
          <w:tcPr>
            <w:tcW w:w="2547"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13792B" w:rsidRDefault="003F5D83" w:rsidP="0013792B">
            <w:pPr>
              <w:spacing w:after="0" w:line="240" w:lineRule="auto"/>
              <w:rPr>
                <w:rFonts w:ascii="Times New Roman" w:hAnsi="Times New Roman" w:cs="Times New Roman"/>
                <w:b/>
                <w:color w:val="000000" w:themeColor="text1"/>
                <w:sz w:val="24"/>
                <w:szCs w:val="24"/>
                <w:lang w:val="ru-RU"/>
              </w:rPr>
            </w:pPr>
            <w:r w:rsidRPr="0013792B">
              <w:rPr>
                <w:rFonts w:ascii="Times New Roman" w:eastAsia="Arial" w:hAnsi="Times New Roman" w:cs="Times New Roman"/>
                <w:b/>
                <w:color w:val="000000" w:themeColor="text1"/>
                <w:sz w:val="24"/>
                <w:szCs w:val="24"/>
                <w:lang w:val="ru-RU"/>
              </w:rPr>
              <w:t>Показатель</w:t>
            </w:r>
          </w:p>
        </w:tc>
        <w:tc>
          <w:tcPr>
            <w:tcW w:w="2395"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13792B" w:rsidRDefault="003F5D83" w:rsidP="003F5D83">
            <w:pPr>
              <w:spacing w:after="0" w:line="240" w:lineRule="auto"/>
              <w:jc w:val="center"/>
              <w:rPr>
                <w:rFonts w:ascii="Times New Roman" w:hAnsi="Times New Roman" w:cs="Times New Roman"/>
                <w:b/>
                <w:color w:val="000000" w:themeColor="text1"/>
                <w:sz w:val="24"/>
                <w:szCs w:val="24"/>
                <w:lang w:val="ru-RU"/>
              </w:rPr>
            </w:pPr>
            <w:r w:rsidRPr="0013792B">
              <w:rPr>
                <w:rFonts w:ascii="Times New Roman" w:eastAsia="Arial" w:hAnsi="Times New Roman" w:cs="Times New Roman"/>
                <w:b/>
                <w:color w:val="000000" w:themeColor="text1"/>
                <w:sz w:val="24"/>
                <w:szCs w:val="24"/>
                <w:lang w:val="ru-RU"/>
              </w:rPr>
              <w:t>Комрат</w:t>
            </w:r>
          </w:p>
        </w:tc>
        <w:tc>
          <w:tcPr>
            <w:tcW w:w="242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13792B" w:rsidRDefault="003F5D83" w:rsidP="003F5D83">
            <w:pPr>
              <w:spacing w:after="0" w:line="240" w:lineRule="auto"/>
              <w:jc w:val="center"/>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Чадыр-Лунга</w:t>
            </w:r>
          </w:p>
        </w:tc>
        <w:tc>
          <w:tcPr>
            <w:tcW w:w="241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13792B" w:rsidRDefault="003F5D83" w:rsidP="003F5D83">
            <w:pPr>
              <w:spacing w:after="0" w:line="240" w:lineRule="auto"/>
              <w:jc w:val="center"/>
              <w:rPr>
                <w:rFonts w:ascii="Times New Roman" w:hAnsi="Times New Roman" w:cs="Times New Roman"/>
                <w:b/>
                <w:sz w:val="24"/>
                <w:szCs w:val="24"/>
                <w:lang w:val="ru-RU"/>
              </w:rPr>
            </w:pPr>
            <w:r w:rsidRPr="0013792B">
              <w:rPr>
                <w:rFonts w:ascii="Times New Roman" w:eastAsia="Arial" w:hAnsi="Times New Roman" w:cs="Times New Roman"/>
                <w:b/>
                <w:color w:val="000000" w:themeColor="text1"/>
                <w:sz w:val="24"/>
                <w:szCs w:val="24"/>
                <w:lang w:val="ru-RU"/>
              </w:rPr>
              <w:t>Вулканешты</w:t>
            </w:r>
          </w:p>
        </w:tc>
      </w:tr>
      <w:tr w:rsidR="0013792B" w:rsidRPr="00B72A23"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13792B" w:rsidP="0013792B">
            <w:pPr>
              <w:spacing w:after="0" w:line="240" w:lineRule="auto"/>
              <w:rPr>
                <w:rFonts w:ascii="Times New Roman" w:hAnsi="Times New Roman" w:cs="Times New Roman"/>
                <w:sz w:val="24"/>
                <w:szCs w:val="24"/>
                <w:lang w:val="ru-RU"/>
              </w:rPr>
            </w:pPr>
            <w:r>
              <w:rPr>
                <w:rFonts w:ascii="Times New Roman" w:eastAsia="Arial" w:hAnsi="Times New Roman" w:cs="Times New Roman"/>
                <w:sz w:val="24"/>
                <w:szCs w:val="24"/>
                <w:lang w:val="ru-RU"/>
              </w:rPr>
              <w:t xml:space="preserve">Учреждения раннего образования </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13792B" w:rsidP="0013792B">
            <w:pPr>
              <w:spacing w:after="0" w:line="240" w:lineRule="auto"/>
              <w:rPr>
                <w:rFonts w:ascii="Times New Roman" w:hAnsi="Times New Roman" w:cs="Times New Roman"/>
                <w:sz w:val="24"/>
                <w:szCs w:val="24"/>
                <w:lang w:val="ru-RU"/>
              </w:rPr>
            </w:pPr>
            <w:r>
              <w:rPr>
                <w:rFonts w:ascii="Times New Roman" w:eastAsia="Arial" w:hAnsi="Times New Roman" w:cs="Times New Roman"/>
                <w:sz w:val="24"/>
                <w:szCs w:val="24"/>
                <w:lang w:val="ru-RU"/>
              </w:rPr>
              <w:t xml:space="preserve">7 </w:t>
            </w:r>
            <w:r w:rsidR="00885A80">
              <w:rPr>
                <w:rFonts w:ascii="Times New Roman" w:eastAsia="Arial" w:hAnsi="Times New Roman" w:cs="Times New Roman"/>
                <w:sz w:val="24"/>
                <w:szCs w:val="24"/>
                <w:lang w:val="ru-RU"/>
              </w:rPr>
              <w:t>детских садов</w:t>
            </w:r>
            <w:r w:rsidR="002E79D5">
              <w:rPr>
                <w:rFonts w:ascii="Times New Roman" w:eastAsia="Arial" w:hAnsi="Times New Roman" w:cs="Times New Roman"/>
                <w:sz w:val="24"/>
                <w:szCs w:val="24"/>
                <w:lang w:val="ru-RU"/>
              </w:rPr>
              <w:t xml:space="preserve"> </w:t>
            </w:r>
            <w:r w:rsidR="003F5D83" w:rsidRPr="00B72A23">
              <w:rPr>
                <w:rFonts w:ascii="Times New Roman" w:eastAsia="Arial" w:hAnsi="Times New Roman" w:cs="Times New Roman"/>
                <w:sz w:val="24"/>
                <w:szCs w:val="24"/>
                <w:lang w:val="ru-RU"/>
              </w:rPr>
              <w:t>+ 1 гимназия-сад</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 xml:space="preserve">6 </w:t>
            </w:r>
            <w:r w:rsidR="00885A80">
              <w:rPr>
                <w:rFonts w:ascii="Times New Roman" w:eastAsia="Arial" w:hAnsi="Times New Roman" w:cs="Times New Roman"/>
                <w:sz w:val="24"/>
                <w:szCs w:val="24"/>
                <w:lang w:val="ru-RU"/>
              </w:rPr>
              <w:t>детских садов</w:t>
            </w:r>
            <w:r w:rsidR="00885A80" w:rsidRPr="00B72A23">
              <w:rPr>
                <w:rFonts w:ascii="Times New Roman" w:eastAsia="Arial" w:hAnsi="Times New Roman" w:cs="Times New Roman"/>
                <w:sz w:val="24"/>
                <w:szCs w:val="24"/>
                <w:lang w:val="ru-RU"/>
              </w:rPr>
              <w:t xml:space="preserve"> </w:t>
            </w:r>
            <w:r w:rsidRPr="00B72A23">
              <w:rPr>
                <w:rFonts w:ascii="Times New Roman" w:eastAsia="Arial" w:hAnsi="Times New Roman" w:cs="Times New Roman"/>
                <w:sz w:val="24"/>
                <w:szCs w:val="24"/>
                <w:lang w:val="ru-RU"/>
              </w:rPr>
              <w:t>+ 1 гимназия-сад</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 xml:space="preserve">6 </w:t>
            </w:r>
            <w:r w:rsidR="00885A80">
              <w:rPr>
                <w:rFonts w:ascii="Times New Roman" w:eastAsia="Arial" w:hAnsi="Times New Roman" w:cs="Times New Roman"/>
                <w:sz w:val="24"/>
                <w:szCs w:val="24"/>
                <w:lang w:val="ru-RU"/>
              </w:rPr>
              <w:t>детских садов</w:t>
            </w:r>
          </w:p>
        </w:tc>
      </w:tr>
      <w:tr w:rsidR="0013792B" w:rsidRPr="00B72A23"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Школы, гимназии, лицеи</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eastAsia="Arial" w:hAnsi="Times New Roman" w:cs="Times New Roman"/>
                <w:sz w:val="24"/>
                <w:szCs w:val="24"/>
                <w:lang w:val="ru-RU"/>
              </w:rPr>
            </w:pPr>
            <w:r w:rsidRPr="00B72A23">
              <w:rPr>
                <w:rFonts w:ascii="Times New Roman" w:eastAsia="Arial" w:hAnsi="Times New Roman" w:cs="Times New Roman"/>
                <w:sz w:val="24"/>
                <w:szCs w:val="24"/>
                <w:lang w:val="ru-RU"/>
              </w:rPr>
              <w:t>6 лицеев</w:t>
            </w:r>
          </w:p>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2 гимназии</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eastAsia="Arial" w:hAnsi="Times New Roman" w:cs="Times New Roman"/>
                <w:sz w:val="24"/>
                <w:szCs w:val="24"/>
                <w:lang w:val="ru-RU"/>
              </w:rPr>
            </w:pPr>
            <w:r w:rsidRPr="00B72A23">
              <w:rPr>
                <w:rFonts w:ascii="Times New Roman" w:eastAsia="Arial" w:hAnsi="Times New Roman" w:cs="Times New Roman"/>
                <w:sz w:val="24"/>
                <w:szCs w:val="24"/>
                <w:lang w:val="ru-RU"/>
              </w:rPr>
              <w:t>4 лицея</w:t>
            </w:r>
          </w:p>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2 гимназии</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2 лицея</w:t>
            </w:r>
          </w:p>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1 гимназия</w:t>
            </w:r>
          </w:p>
        </w:tc>
      </w:tr>
      <w:tr w:rsidR="0013792B" w:rsidRPr="00B72A23"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Высшее / проф. образование</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КГУ + колледж + ПТУ</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Профессиональная школа</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Нет</w:t>
            </w:r>
          </w:p>
        </w:tc>
      </w:tr>
      <w:tr w:rsidR="0013792B" w:rsidRPr="00B72A23"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Культурные учреждения</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6 учреждений</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4 учреждения</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7 учреждений</w:t>
            </w:r>
          </w:p>
        </w:tc>
      </w:tr>
      <w:tr w:rsidR="0013792B" w:rsidRPr="00B72A23"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Больницы / медцентры</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13792B" w:rsidP="0013792B">
            <w:pPr>
              <w:spacing w:after="0" w:line="240" w:lineRule="auto"/>
              <w:rPr>
                <w:rFonts w:ascii="Times New Roman" w:hAnsi="Times New Roman" w:cs="Times New Roman"/>
                <w:sz w:val="24"/>
                <w:szCs w:val="24"/>
                <w:lang w:val="ru-RU"/>
              </w:rPr>
            </w:pPr>
            <w:r>
              <w:rPr>
                <w:rFonts w:ascii="Times New Roman" w:eastAsia="Arial" w:hAnsi="Times New Roman" w:cs="Times New Roman"/>
                <w:sz w:val="24"/>
                <w:szCs w:val="24"/>
                <w:lang w:val="ru-RU"/>
              </w:rPr>
              <w:t>Районная больница, ЦСМ, диагностические</w:t>
            </w:r>
            <w:r w:rsidR="003F5D83" w:rsidRPr="00B72A23">
              <w:rPr>
                <w:rFonts w:ascii="Times New Roman" w:eastAsia="Arial" w:hAnsi="Times New Roman" w:cs="Times New Roman"/>
                <w:sz w:val="24"/>
                <w:szCs w:val="24"/>
                <w:lang w:val="ru-RU"/>
              </w:rPr>
              <w:t xml:space="preserve"> центры</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13792B" w:rsidP="0013792B">
            <w:pPr>
              <w:spacing w:after="0" w:line="240" w:lineRule="auto"/>
              <w:rPr>
                <w:rFonts w:ascii="Times New Roman" w:hAnsi="Times New Roman" w:cs="Times New Roman"/>
                <w:sz w:val="24"/>
                <w:szCs w:val="24"/>
                <w:lang w:val="ru-RU"/>
              </w:rPr>
            </w:pPr>
            <w:r>
              <w:rPr>
                <w:rFonts w:ascii="Times New Roman" w:eastAsia="Arial" w:hAnsi="Times New Roman" w:cs="Times New Roman"/>
                <w:sz w:val="24"/>
                <w:szCs w:val="24"/>
                <w:lang w:val="ru-RU"/>
              </w:rPr>
              <w:t>Районная больница, ЦСМ, диагностические</w:t>
            </w:r>
            <w:r w:rsidR="003F5D83" w:rsidRPr="00B72A23">
              <w:rPr>
                <w:rFonts w:ascii="Times New Roman" w:eastAsia="Arial" w:hAnsi="Times New Roman" w:cs="Times New Roman"/>
                <w:sz w:val="24"/>
                <w:szCs w:val="24"/>
                <w:lang w:val="ru-RU"/>
              </w:rPr>
              <w:t xml:space="preserve"> центры</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eastAsia="Arial" w:hAnsi="Times New Roman" w:cs="Times New Roman"/>
                <w:sz w:val="24"/>
                <w:szCs w:val="24"/>
                <w:lang w:val="ru-RU"/>
              </w:rPr>
              <w:t>Районная больница, ЦСМ</w:t>
            </w:r>
          </w:p>
        </w:tc>
      </w:tr>
      <w:tr w:rsidR="0013792B" w:rsidRPr="00B72A23" w:rsidTr="0013792B">
        <w:tc>
          <w:tcPr>
            <w:tcW w:w="2547"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784AA4" w:rsidRDefault="003F5D83" w:rsidP="0013792B">
            <w:pPr>
              <w:spacing w:after="0" w:line="240" w:lineRule="auto"/>
              <w:rPr>
                <w:rFonts w:ascii="Times New Roman" w:hAnsi="Times New Roman" w:cs="Times New Roman"/>
                <w:sz w:val="24"/>
                <w:szCs w:val="24"/>
                <w:lang w:val="ru-RU"/>
              </w:rPr>
            </w:pPr>
            <w:r w:rsidRPr="00784AA4">
              <w:rPr>
                <w:rFonts w:ascii="Times New Roman" w:eastAsia="Arial" w:hAnsi="Times New Roman" w:cs="Times New Roman"/>
                <w:sz w:val="24"/>
                <w:szCs w:val="24"/>
                <w:lang w:val="ru-RU"/>
              </w:rPr>
              <w:t>Спортивные учреждения</w:t>
            </w:r>
          </w:p>
        </w:tc>
        <w:tc>
          <w:tcPr>
            <w:tcW w:w="239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2 Спортивные школы</w:t>
            </w:r>
          </w:p>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1 Спортивный лицей</w:t>
            </w:r>
          </w:p>
        </w:tc>
        <w:tc>
          <w:tcPr>
            <w:tcW w:w="242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2 Спортивные школы</w:t>
            </w:r>
          </w:p>
        </w:tc>
        <w:tc>
          <w:tcPr>
            <w:tcW w:w="241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rsidR="003F5D83" w:rsidRPr="00B72A23" w:rsidRDefault="003F5D83" w:rsidP="0013792B">
            <w:pPr>
              <w:spacing w:after="0" w:line="240" w:lineRule="auto"/>
              <w:rPr>
                <w:rFonts w:ascii="Times New Roman" w:hAnsi="Times New Roman" w:cs="Times New Roman"/>
                <w:sz w:val="24"/>
                <w:szCs w:val="24"/>
                <w:lang w:val="ru-RU"/>
              </w:rPr>
            </w:pPr>
            <w:r w:rsidRPr="00B72A23">
              <w:rPr>
                <w:rFonts w:ascii="Times New Roman" w:hAnsi="Times New Roman" w:cs="Times New Roman"/>
                <w:sz w:val="24"/>
                <w:szCs w:val="24"/>
                <w:lang w:val="ru-RU"/>
              </w:rPr>
              <w:t>1 Спортивная школа</w:t>
            </w:r>
          </w:p>
        </w:tc>
      </w:tr>
    </w:tbl>
    <w:p w:rsidR="003F5D83" w:rsidRPr="00B6503E" w:rsidRDefault="003F5D83" w:rsidP="003F5D83">
      <w:pPr>
        <w:spacing w:after="0" w:line="240" w:lineRule="auto"/>
        <w:jc w:val="both"/>
        <w:rPr>
          <w:rFonts w:ascii="Times New Roman" w:hAnsi="Times New Roman" w:cs="Times New Roman"/>
          <w:i/>
          <w:iCs/>
          <w:sz w:val="16"/>
          <w:szCs w:val="16"/>
          <w:lang w:val="ru-RU"/>
        </w:rPr>
      </w:pPr>
      <w:r w:rsidRPr="00B6503E">
        <w:rPr>
          <w:rFonts w:ascii="Times New Roman" w:hAnsi="Times New Roman" w:cs="Times New Roman"/>
          <w:i/>
          <w:iCs/>
          <w:sz w:val="16"/>
          <w:szCs w:val="16"/>
          <w:lang w:val="ru-RU"/>
        </w:rPr>
        <w:t>Источник: ОМПУ и собственные расчеты</w:t>
      </w:r>
    </w:p>
    <w:p w:rsidR="003F5D83" w:rsidRPr="00B72A23" w:rsidRDefault="003F5D83" w:rsidP="003F5D83">
      <w:pPr>
        <w:spacing w:after="0" w:line="240" w:lineRule="auto"/>
        <w:jc w:val="both"/>
        <w:rPr>
          <w:rFonts w:ascii="Times New Roman" w:hAnsi="Times New Roman" w:cs="Times New Roman"/>
          <w:i/>
          <w:iCs/>
          <w:sz w:val="24"/>
          <w:szCs w:val="24"/>
          <w:lang w:val="ru-RU"/>
        </w:rPr>
      </w:pPr>
    </w:p>
    <w:p w:rsidR="003F5D83" w:rsidRPr="00B72A23" w:rsidRDefault="003F5D83" w:rsidP="003F5D83">
      <w:pPr>
        <w:spacing w:after="0" w:line="240" w:lineRule="auto"/>
        <w:jc w:val="both"/>
        <w:rPr>
          <w:rFonts w:ascii="Times New Roman" w:hAnsi="Times New Roman" w:cs="Times New Roman"/>
          <w:sz w:val="24"/>
          <w:szCs w:val="24"/>
          <w:lang w:val="ru-RU"/>
        </w:rPr>
      </w:pPr>
      <w:r w:rsidRPr="00B72A23">
        <w:rPr>
          <w:rFonts w:ascii="Times New Roman" w:hAnsi="Times New Roman" w:cs="Times New Roman"/>
          <w:b/>
          <w:bCs/>
          <w:sz w:val="24"/>
          <w:szCs w:val="24"/>
          <w:lang w:val="ru-RU"/>
        </w:rPr>
        <w:t>Развитие технико-коммунальной инфраструктуры</w:t>
      </w:r>
      <w:r w:rsidRPr="00B72A23">
        <w:rPr>
          <w:rFonts w:ascii="Times New Roman" w:hAnsi="Times New Roman" w:cs="Times New Roman"/>
          <w:sz w:val="24"/>
          <w:szCs w:val="24"/>
          <w:lang w:val="ru-RU"/>
        </w:rPr>
        <w:t>.</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Столица автономии занимает лидирующую позицию по качеству предоставляемых услуг. Охват населения централизованным водоснабжением в Комрате в 2024 году достиг практически </w:t>
      </w:r>
      <w:r w:rsidRPr="00EF5609">
        <w:rPr>
          <w:rFonts w:ascii="Times New Roman" w:hAnsi="Times New Roman" w:cs="Times New Roman"/>
          <w:b/>
          <w:bCs/>
          <w:sz w:val="24"/>
          <w:szCs w:val="24"/>
          <w:lang w:val="ru-RU"/>
        </w:rPr>
        <w:t>99%</w:t>
      </w:r>
      <w:r w:rsidRPr="00EF5609">
        <w:rPr>
          <w:rFonts w:ascii="Times New Roman" w:hAnsi="Times New Roman" w:cs="Times New Roman"/>
          <w:sz w:val="24"/>
          <w:szCs w:val="24"/>
          <w:lang w:val="ru-RU"/>
        </w:rPr>
        <w:t xml:space="preserve">. Благодаря эксплуатации </w:t>
      </w:r>
      <w:proofErr w:type="spellStart"/>
      <w:r w:rsidRPr="00EF5609">
        <w:rPr>
          <w:rFonts w:ascii="Times New Roman" w:hAnsi="Times New Roman" w:cs="Times New Roman"/>
          <w:sz w:val="24"/>
          <w:szCs w:val="24"/>
          <w:lang w:val="ru-RU"/>
        </w:rPr>
        <w:t>Чок-Майданского</w:t>
      </w:r>
      <w:proofErr w:type="spellEnd"/>
      <w:r w:rsidRPr="00EF5609">
        <w:rPr>
          <w:rFonts w:ascii="Times New Roman" w:hAnsi="Times New Roman" w:cs="Times New Roman"/>
          <w:sz w:val="24"/>
          <w:szCs w:val="24"/>
          <w:lang w:val="ru-RU"/>
        </w:rPr>
        <w:t xml:space="preserve"> водозабора, город обеспечен водой, соответствующей всем санитарно-гигиеническим нормам.</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Однако в сфере водоотведения ситуация сложнее: на начало года охват канализационными сетями составлял лишь </w:t>
      </w:r>
      <w:r w:rsidRPr="00EF5609">
        <w:rPr>
          <w:rFonts w:ascii="Times New Roman" w:hAnsi="Times New Roman" w:cs="Times New Roman"/>
          <w:b/>
          <w:bCs/>
          <w:sz w:val="24"/>
          <w:szCs w:val="24"/>
          <w:lang w:val="ru-RU"/>
        </w:rPr>
        <w:t>41%</w:t>
      </w:r>
      <w:r w:rsidRPr="00EF5609">
        <w:rPr>
          <w:rFonts w:ascii="Times New Roman" w:hAnsi="Times New Roman" w:cs="Times New Roman"/>
          <w:sz w:val="24"/>
          <w:szCs w:val="24"/>
          <w:lang w:val="ru-RU"/>
        </w:rPr>
        <w:t xml:space="preserve">. В течение 2025 года Комрат стал центром реализации крупных инфраструктурных проектов по расширению сетей, что значительно увеличило долю подключения к канализационным сетям. </w:t>
      </w:r>
      <w:r>
        <w:rPr>
          <w:rFonts w:ascii="Times New Roman" w:hAnsi="Times New Roman" w:cs="Times New Roman"/>
          <w:sz w:val="24"/>
          <w:szCs w:val="24"/>
          <w:lang w:val="ru-RU"/>
        </w:rPr>
        <w:t>Г</w:t>
      </w:r>
      <w:r w:rsidRPr="00EF5609">
        <w:rPr>
          <w:rFonts w:ascii="Times New Roman" w:hAnsi="Times New Roman" w:cs="Times New Roman"/>
          <w:sz w:val="24"/>
          <w:szCs w:val="24"/>
          <w:lang w:val="ru-RU"/>
        </w:rPr>
        <w:t xml:space="preserve">ород подключен к централизованной канализационной сети, построенной в советское время и не прошедшей должной реконструкции. Станция очистки сточных вод не функционирует с 2003 года, в результате чего неочищенные стоки сбрасываются непосредственно в реку </w:t>
      </w:r>
      <w:proofErr w:type="spellStart"/>
      <w:r w:rsidRPr="00EF5609">
        <w:rPr>
          <w:rFonts w:ascii="Times New Roman" w:hAnsi="Times New Roman" w:cs="Times New Roman"/>
          <w:sz w:val="24"/>
          <w:szCs w:val="24"/>
          <w:lang w:val="ru-RU"/>
        </w:rPr>
        <w:t>Ялпуг</w:t>
      </w:r>
      <w:proofErr w:type="spellEnd"/>
      <w:r w:rsidRPr="00EF5609">
        <w:rPr>
          <w:rFonts w:ascii="Times New Roman" w:hAnsi="Times New Roman" w:cs="Times New Roman"/>
          <w:sz w:val="24"/>
          <w:szCs w:val="24"/>
          <w:lang w:val="ru-RU"/>
        </w:rPr>
        <w:t>. Оставшиеся 59% города и все окрестные сёла используют локальные септические системы.</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В Чадыр-Лунге водопроводные сети были проведены в 2008 году на безвозмездные средства Турецкой Республики. Охват сетями водоснабжения составляет около 95%. Вместе с тем в числе актуальных проблем — неудовлетворительное качество питьевой воды, требующее модернизации систем</w:t>
      </w:r>
      <w:r>
        <w:rPr>
          <w:rFonts w:ascii="Times New Roman" w:hAnsi="Times New Roman" w:cs="Times New Roman"/>
          <w:sz w:val="24"/>
          <w:szCs w:val="24"/>
          <w:lang w:val="ru-RU"/>
        </w:rPr>
        <w:t>ы</w:t>
      </w:r>
      <w:r w:rsidRPr="00EF5609">
        <w:rPr>
          <w:rFonts w:ascii="Times New Roman" w:hAnsi="Times New Roman" w:cs="Times New Roman"/>
          <w:sz w:val="24"/>
          <w:szCs w:val="24"/>
          <w:lang w:val="ru-RU"/>
        </w:rPr>
        <w:t xml:space="preserve"> водо</w:t>
      </w:r>
      <w:r>
        <w:rPr>
          <w:rFonts w:ascii="Times New Roman" w:hAnsi="Times New Roman" w:cs="Times New Roman"/>
          <w:sz w:val="24"/>
          <w:szCs w:val="24"/>
          <w:lang w:val="ru-RU"/>
        </w:rPr>
        <w:t>очист</w:t>
      </w:r>
      <w:r w:rsidRPr="00EF5609">
        <w:rPr>
          <w:rFonts w:ascii="Times New Roman" w:hAnsi="Times New Roman" w:cs="Times New Roman"/>
          <w:sz w:val="24"/>
          <w:szCs w:val="24"/>
          <w:lang w:val="ru-RU"/>
        </w:rPr>
        <w:t xml:space="preserve">ки. </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Чадыр-Лунге канализационные сети были построены в 2011 году при поддержке ЕБРР (70% грант, 30% кредит). Охват сетями канализации составляет около 95%. Однако очистные сооружения не функционируют, что </w:t>
      </w:r>
      <w:r>
        <w:rPr>
          <w:rFonts w:ascii="Times New Roman" w:hAnsi="Times New Roman" w:cs="Times New Roman"/>
          <w:sz w:val="24"/>
          <w:szCs w:val="24"/>
          <w:lang w:val="ru-RU"/>
        </w:rPr>
        <w:t>представляет</w:t>
      </w:r>
      <w:r w:rsidRPr="00EF5609">
        <w:rPr>
          <w:rFonts w:ascii="Times New Roman" w:hAnsi="Times New Roman" w:cs="Times New Roman"/>
          <w:sz w:val="24"/>
          <w:szCs w:val="24"/>
          <w:lang w:val="ru-RU"/>
        </w:rPr>
        <w:t xml:space="preserve"> серьёзн</w:t>
      </w:r>
      <w:r>
        <w:rPr>
          <w:rFonts w:ascii="Times New Roman" w:hAnsi="Times New Roman" w:cs="Times New Roman"/>
          <w:sz w:val="24"/>
          <w:szCs w:val="24"/>
          <w:lang w:val="ru-RU"/>
        </w:rPr>
        <w:t>ую</w:t>
      </w:r>
      <w:r w:rsidRPr="00EF5609">
        <w:rPr>
          <w:rFonts w:ascii="Times New Roman" w:hAnsi="Times New Roman" w:cs="Times New Roman"/>
          <w:sz w:val="24"/>
          <w:szCs w:val="24"/>
          <w:lang w:val="ru-RU"/>
        </w:rPr>
        <w:t xml:space="preserve"> экологическ</w:t>
      </w:r>
      <w:r>
        <w:rPr>
          <w:rFonts w:ascii="Times New Roman" w:hAnsi="Times New Roman" w:cs="Times New Roman"/>
          <w:sz w:val="24"/>
          <w:szCs w:val="24"/>
          <w:lang w:val="ru-RU"/>
        </w:rPr>
        <w:t>ую</w:t>
      </w:r>
      <w:r w:rsidRPr="00EF5609">
        <w:rPr>
          <w:rFonts w:ascii="Times New Roman" w:hAnsi="Times New Roman" w:cs="Times New Roman"/>
          <w:sz w:val="24"/>
          <w:szCs w:val="24"/>
          <w:lang w:val="ru-RU"/>
        </w:rPr>
        <w:t xml:space="preserve"> </w:t>
      </w:r>
      <w:r>
        <w:rPr>
          <w:rFonts w:ascii="Times New Roman" w:hAnsi="Times New Roman" w:cs="Times New Roman"/>
          <w:sz w:val="24"/>
          <w:szCs w:val="24"/>
          <w:lang w:val="ru-RU"/>
        </w:rPr>
        <w:t>проблему</w:t>
      </w:r>
      <w:r w:rsidRPr="00EF5609">
        <w:rPr>
          <w:rFonts w:ascii="Times New Roman" w:hAnsi="Times New Roman" w:cs="Times New Roman"/>
          <w:sz w:val="24"/>
          <w:szCs w:val="24"/>
          <w:lang w:val="ru-RU"/>
        </w:rPr>
        <w:t>.</w:t>
      </w:r>
      <w:r>
        <w:rPr>
          <w:rFonts w:ascii="Times New Roman" w:hAnsi="Times New Roman" w:cs="Times New Roman"/>
          <w:sz w:val="24"/>
          <w:szCs w:val="24"/>
          <w:lang w:val="ru-RU"/>
        </w:rPr>
        <w:t xml:space="preserve"> В этом направлении уже разработан проект и техническая документация для строительства новых очистных сооружений.</w:t>
      </w:r>
      <w:r w:rsidRPr="00EF5609">
        <w:rPr>
          <w:rFonts w:ascii="Times New Roman" w:hAnsi="Times New Roman" w:cs="Times New Roman"/>
          <w:sz w:val="24"/>
          <w:szCs w:val="24"/>
          <w:lang w:val="ru-RU"/>
        </w:rPr>
        <w:t xml:space="preserve"> </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Вулканешты остаются наиболее уязвимым звеном среди 3 городов. Охват населения водоснабжением здесь составляет всего около </w:t>
      </w:r>
      <w:r w:rsidRPr="00EF5609">
        <w:rPr>
          <w:rFonts w:ascii="Times New Roman" w:hAnsi="Times New Roman" w:cs="Times New Roman"/>
          <w:b/>
          <w:bCs/>
          <w:sz w:val="24"/>
          <w:szCs w:val="24"/>
          <w:lang w:val="ru-RU"/>
        </w:rPr>
        <w:t>60%</w:t>
      </w:r>
      <w:r w:rsidRPr="00EF5609">
        <w:rPr>
          <w:rFonts w:ascii="Times New Roman" w:hAnsi="Times New Roman" w:cs="Times New Roman"/>
          <w:sz w:val="24"/>
          <w:szCs w:val="24"/>
          <w:lang w:val="ru-RU"/>
        </w:rPr>
        <w:t>, что является самым низким показателем среди городов региона. Город остро ощущает нехватку собственных водных ресурсов и сильно зависит от внешних инвестиций для бурения новых скважин и прокладки сетей в отдаленные районы.</w:t>
      </w:r>
      <w:r>
        <w:rPr>
          <w:rFonts w:ascii="Times New Roman" w:hAnsi="Times New Roman" w:cs="Times New Roman"/>
          <w:sz w:val="24"/>
          <w:szCs w:val="24"/>
          <w:lang w:val="ru-RU"/>
        </w:rPr>
        <w:t xml:space="preserve"> На сегодня к Вулканештам, в рамках проекта Всемирного </w:t>
      </w:r>
      <w:r>
        <w:rPr>
          <w:rFonts w:ascii="Times New Roman" w:hAnsi="Times New Roman" w:cs="Times New Roman"/>
          <w:sz w:val="24"/>
          <w:szCs w:val="24"/>
          <w:lang w:val="ru-RU"/>
        </w:rPr>
        <w:lastRenderedPageBreak/>
        <w:t xml:space="preserve">Банка, осуществляется строительство водовода из реки Прут, окончание работ запланировано в 2027 году. </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Pr="00EF5609">
        <w:rPr>
          <w:rFonts w:ascii="Times New Roman" w:hAnsi="Times New Roman" w:cs="Times New Roman"/>
          <w:sz w:val="24"/>
          <w:szCs w:val="24"/>
          <w:lang w:val="ru-RU"/>
        </w:rPr>
        <w:t xml:space="preserve">оступ к централизованному водоотведению в Вулканештах имеют </w:t>
      </w:r>
      <w:r w:rsidRPr="00EF5609">
        <w:rPr>
          <w:rFonts w:ascii="Times New Roman" w:hAnsi="Times New Roman" w:cs="Times New Roman"/>
          <w:b/>
          <w:bCs/>
          <w:sz w:val="24"/>
          <w:szCs w:val="24"/>
          <w:lang w:val="ru-RU"/>
        </w:rPr>
        <w:t>менее 25%</w:t>
      </w:r>
      <w:r w:rsidRPr="00EF5609">
        <w:rPr>
          <w:rFonts w:ascii="Times New Roman" w:hAnsi="Times New Roman" w:cs="Times New Roman"/>
          <w:sz w:val="24"/>
          <w:szCs w:val="24"/>
          <w:lang w:val="ru-RU"/>
        </w:rPr>
        <w:t xml:space="preserve"> жителей, в связи с не развитой системой водоотведения. Инфраструктура города требует полной реновации, так как текущее состояние сетей ведет к риску загрязнения почвенных вод, что в условиях засушливого климата юга Молдовы создает серьезную угрозу санитарно-эпидемиологическому благополучию. В городе действуют очистные сооружения, но используются не более чем на 15-20% от нормативной мощности.</w:t>
      </w:r>
    </w:p>
    <w:p w:rsidR="003F5D83"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Система управления ТБО во всех трёх городах имеет существенные недостатки. В Чадыр-Лунге сбором и транспортировкой ТБО занимается Отдел благоустройства </w:t>
      </w:r>
      <w:proofErr w:type="spellStart"/>
      <w:r w:rsidRPr="00EF5609">
        <w:rPr>
          <w:rFonts w:ascii="Times New Roman" w:hAnsi="Times New Roman" w:cs="Times New Roman"/>
          <w:sz w:val="24"/>
          <w:szCs w:val="24"/>
          <w:lang w:val="ru-RU"/>
        </w:rPr>
        <w:t>примэрии</w:t>
      </w:r>
      <w:proofErr w:type="spellEnd"/>
      <w:r w:rsidRPr="00EF5609">
        <w:rPr>
          <w:rFonts w:ascii="Times New Roman" w:hAnsi="Times New Roman" w:cs="Times New Roman"/>
          <w:sz w:val="24"/>
          <w:szCs w:val="24"/>
          <w:lang w:val="ru-RU"/>
        </w:rPr>
        <w:t xml:space="preserve">, однако фиксируется дефицит контейнеров и регулярные возгорания несанкционированного полигона ТБО. В Вулканештах зафиксировано 9 несанкционированных свалок (2024 г.), наибольшее число которых — в периферийных зонах города. Следует отметить, что в г. Вулканешты достаточное количество контейнеров для сбора ТБО, объемом 1,1 </w:t>
      </w:r>
      <w:r w:rsidRPr="00EF5609">
        <w:rPr>
          <w:rFonts w:ascii="Times New Roman" w:eastAsia="Arial" w:hAnsi="Times New Roman" w:cs="Times New Roman"/>
          <w:sz w:val="24"/>
          <w:szCs w:val="24"/>
          <w:lang w:val="ru-RU"/>
        </w:rPr>
        <w:t>м3</w:t>
      </w:r>
      <w:r w:rsidRPr="00EF5609">
        <w:rPr>
          <w:rFonts w:ascii="Times New Roman" w:hAnsi="Times New Roman" w:cs="Times New Roman"/>
          <w:sz w:val="24"/>
          <w:szCs w:val="24"/>
          <w:lang w:val="ru-RU"/>
        </w:rPr>
        <w:t xml:space="preserve">, а также </w:t>
      </w:r>
      <w:r>
        <w:rPr>
          <w:rFonts w:ascii="Times New Roman" w:hAnsi="Times New Roman" w:cs="Times New Roman"/>
          <w:sz w:val="24"/>
          <w:szCs w:val="24"/>
          <w:lang w:val="ru-RU"/>
        </w:rPr>
        <w:t>распределены</w:t>
      </w:r>
      <w:r w:rsidRPr="00EF5609">
        <w:rPr>
          <w:rFonts w:ascii="Times New Roman" w:hAnsi="Times New Roman" w:cs="Times New Roman"/>
          <w:sz w:val="24"/>
          <w:szCs w:val="24"/>
          <w:lang w:val="ru-RU"/>
        </w:rPr>
        <w:t xml:space="preserve"> в каждое частное домовладение пластиковые контейнеры объемом 0,12 </w:t>
      </w:r>
      <w:r w:rsidRPr="00EF5609">
        <w:rPr>
          <w:rFonts w:ascii="Times New Roman" w:eastAsia="Arial" w:hAnsi="Times New Roman" w:cs="Times New Roman"/>
          <w:sz w:val="24"/>
          <w:szCs w:val="24"/>
          <w:lang w:val="ru-RU"/>
        </w:rPr>
        <w:t>м3</w:t>
      </w:r>
      <w:r w:rsidRPr="00EF5609">
        <w:rPr>
          <w:rFonts w:ascii="Times New Roman" w:hAnsi="Times New Roman" w:cs="Times New Roman"/>
          <w:sz w:val="24"/>
          <w:szCs w:val="24"/>
          <w:lang w:val="ru-RU"/>
        </w:rPr>
        <w:t xml:space="preserve">. В </w:t>
      </w:r>
      <w:proofErr w:type="spellStart"/>
      <w:r w:rsidRPr="00EF5609">
        <w:rPr>
          <w:rFonts w:ascii="Times New Roman" w:hAnsi="Times New Roman" w:cs="Times New Roman"/>
          <w:sz w:val="24"/>
          <w:szCs w:val="24"/>
          <w:lang w:val="ru-RU"/>
        </w:rPr>
        <w:t>мун</w:t>
      </w:r>
      <w:proofErr w:type="spellEnd"/>
      <w:r w:rsidRPr="00EF5609">
        <w:rPr>
          <w:rFonts w:ascii="Times New Roman" w:hAnsi="Times New Roman" w:cs="Times New Roman"/>
          <w:sz w:val="24"/>
          <w:szCs w:val="24"/>
          <w:lang w:val="ru-RU"/>
        </w:rPr>
        <w:t xml:space="preserve">. Комрат сбором и транспортировкой ТБО занимается МП ЖКХ Комрат, </w:t>
      </w:r>
      <w:r>
        <w:rPr>
          <w:rFonts w:ascii="Times New Roman" w:hAnsi="Times New Roman" w:cs="Times New Roman"/>
          <w:sz w:val="24"/>
          <w:szCs w:val="24"/>
          <w:lang w:val="ru-RU"/>
        </w:rPr>
        <w:t>здесь</w:t>
      </w:r>
      <w:r w:rsidRPr="00EF5609">
        <w:rPr>
          <w:rFonts w:ascii="Times New Roman" w:hAnsi="Times New Roman" w:cs="Times New Roman"/>
          <w:sz w:val="24"/>
          <w:szCs w:val="24"/>
          <w:lang w:val="ru-RU"/>
        </w:rPr>
        <w:t xml:space="preserve"> фиксируется дефицит контейнеров</w:t>
      </w:r>
      <w:r>
        <w:rPr>
          <w:rFonts w:ascii="Times New Roman" w:hAnsi="Times New Roman" w:cs="Times New Roman"/>
          <w:sz w:val="24"/>
          <w:szCs w:val="24"/>
          <w:lang w:val="ru-RU"/>
        </w:rPr>
        <w:t>,</w:t>
      </w:r>
      <w:r w:rsidRPr="00EF5609">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Pr="00EF5609">
        <w:rPr>
          <w:rFonts w:ascii="Times New Roman" w:hAnsi="Times New Roman" w:cs="Times New Roman"/>
          <w:sz w:val="24"/>
          <w:szCs w:val="24"/>
          <w:lang w:val="ru-RU"/>
        </w:rPr>
        <w:t xml:space="preserve"> также регулярные возгорания несанкционированного полигона ТБО. Система раздельного сбора и утилизации отходов во всех трёх городах фактически отсутствует. </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p>
    <w:p w:rsidR="002E79D5" w:rsidRDefault="002E79D5" w:rsidP="003F5D83">
      <w:pPr>
        <w:spacing w:after="0" w:line="240" w:lineRule="auto"/>
        <w:jc w:val="both"/>
        <w:rPr>
          <w:rFonts w:ascii="Times New Roman" w:hAnsi="Times New Roman" w:cs="Times New Roman"/>
          <w:b/>
          <w:bCs/>
          <w:sz w:val="24"/>
          <w:szCs w:val="24"/>
          <w:lang w:val="ru-RU"/>
        </w:rPr>
      </w:pPr>
    </w:p>
    <w:p w:rsidR="003F5D83" w:rsidRPr="00EF5609" w:rsidRDefault="003F5D83" w:rsidP="003F5D83">
      <w:pPr>
        <w:spacing w:after="0" w:line="240" w:lineRule="auto"/>
        <w:jc w:val="both"/>
        <w:rPr>
          <w:rFonts w:ascii="Times New Roman" w:hAnsi="Times New Roman" w:cs="Times New Roman"/>
          <w:b/>
          <w:bCs/>
          <w:sz w:val="24"/>
          <w:szCs w:val="24"/>
          <w:lang w:val="ru-RU"/>
        </w:rPr>
      </w:pPr>
      <w:r w:rsidRPr="00EF5609">
        <w:rPr>
          <w:rFonts w:ascii="Times New Roman" w:hAnsi="Times New Roman" w:cs="Times New Roman"/>
          <w:b/>
          <w:bCs/>
          <w:sz w:val="24"/>
          <w:szCs w:val="24"/>
          <w:lang w:val="ru-RU"/>
        </w:rPr>
        <w:t xml:space="preserve">Дорожная сеть и общественный </w:t>
      </w:r>
      <w:r w:rsidR="00745C4B">
        <w:rPr>
          <w:rFonts w:ascii="Times New Roman" w:hAnsi="Times New Roman" w:cs="Times New Roman"/>
          <w:b/>
          <w:bCs/>
          <w:sz w:val="24"/>
          <w:szCs w:val="24"/>
          <w:lang w:val="ru-RU"/>
        </w:rPr>
        <w:t xml:space="preserve">городской </w:t>
      </w:r>
      <w:r w:rsidRPr="00EF5609">
        <w:rPr>
          <w:rFonts w:ascii="Times New Roman" w:hAnsi="Times New Roman" w:cs="Times New Roman"/>
          <w:b/>
          <w:bCs/>
          <w:sz w:val="24"/>
          <w:szCs w:val="24"/>
          <w:lang w:val="ru-RU"/>
        </w:rPr>
        <w:t>транспорт</w:t>
      </w:r>
    </w:p>
    <w:p w:rsidR="002E79D5" w:rsidRDefault="002E79D5" w:rsidP="003F5D83">
      <w:pPr>
        <w:spacing w:after="0" w:line="240" w:lineRule="auto"/>
        <w:ind w:firstLine="709"/>
        <w:jc w:val="both"/>
        <w:rPr>
          <w:rFonts w:ascii="Times New Roman" w:hAnsi="Times New Roman" w:cs="Times New Roman"/>
          <w:sz w:val="24"/>
          <w:szCs w:val="24"/>
          <w:lang w:val="ru-RU"/>
        </w:rPr>
      </w:pP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Дорожная инфраструктура является одним из наиболее критических ограничений развития всех трёх городов АТО Гагаузия. Высокая доля </w:t>
      </w:r>
      <w:proofErr w:type="spellStart"/>
      <w:r w:rsidRPr="00EF5609">
        <w:rPr>
          <w:rFonts w:ascii="Times New Roman" w:hAnsi="Times New Roman" w:cs="Times New Roman"/>
          <w:sz w:val="24"/>
          <w:szCs w:val="24"/>
          <w:lang w:val="ru-RU"/>
        </w:rPr>
        <w:t>неасфальтированных</w:t>
      </w:r>
      <w:proofErr w:type="spellEnd"/>
      <w:r w:rsidRPr="00EF5609">
        <w:rPr>
          <w:rFonts w:ascii="Times New Roman" w:hAnsi="Times New Roman" w:cs="Times New Roman"/>
          <w:sz w:val="24"/>
          <w:szCs w:val="24"/>
          <w:lang w:val="ru-RU"/>
        </w:rPr>
        <w:t xml:space="preserve"> улиц, отсутствие ливневой канализации, деградация дорожного покрытия — общие проблемы, требующие системных инвестиций.</w:t>
      </w:r>
      <w:r>
        <w:rPr>
          <w:rFonts w:ascii="Times New Roman" w:hAnsi="Times New Roman" w:cs="Times New Roman"/>
          <w:sz w:val="24"/>
          <w:szCs w:val="24"/>
          <w:lang w:val="ru-RU"/>
        </w:rPr>
        <w:t xml:space="preserve"> Кроме того, состояние и наличие тротуаров, а также пешеходных переходов имеют крайне негативную оценку.</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Чадыр-Лунге общая протяжённость дорог составляет 110 км, из которых лишь около 50 км имеют твёрдое покрытие (асфальт или брусчатка). Таким образом, более 54% дорожной сети города остаётся без капитального покрытия. Программа городской </w:t>
      </w:r>
      <w:proofErr w:type="spellStart"/>
      <w:r w:rsidRPr="00EF5609">
        <w:rPr>
          <w:rFonts w:ascii="Times New Roman" w:hAnsi="Times New Roman" w:cs="Times New Roman"/>
          <w:sz w:val="24"/>
          <w:szCs w:val="24"/>
          <w:lang w:val="ru-RU"/>
        </w:rPr>
        <w:t>ревитализации</w:t>
      </w:r>
      <w:proofErr w:type="spellEnd"/>
      <w:r w:rsidRPr="00EF5609">
        <w:rPr>
          <w:rFonts w:ascii="Times New Roman" w:hAnsi="Times New Roman" w:cs="Times New Roman"/>
          <w:sz w:val="24"/>
          <w:szCs w:val="24"/>
          <w:lang w:val="ru-RU"/>
        </w:rPr>
        <w:t xml:space="preserve"> 2026–2030 предусматривает регулярное проведение работ по модернизации дорожной сети</w:t>
      </w:r>
      <w:r>
        <w:rPr>
          <w:rFonts w:ascii="Times New Roman" w:hAnsi="Times New Roman" w:cs="Times New Roman"/>
          <w:sz w:val="24"/>
          <w:szCs w:val="24"/>
          <w:lang w:val="ru-RU"/>
        </w:rPr>
        <w:t>,</w:t>
      </w:r>
      <w:r w:rsidRPr="00EF5609">
        <w:rPr>
          <w:rFonts w:ascii="Times New Roman" w:hAnsi="Times New Roman" w:cs="Times New Roman"/>
          <w:sz w:val="24"/>
          <w:szCs w:val="24"/>
          <w:lang w:val="ru-RU"/>
        </w:rPr>
        <w:t xml:space="preserve"> в том числе через механизм </w:t>
      </w:r>
      <w:proofErr w:type="spellStart"/>
      <w:r w:rsidRPr="00EF5609">
        <w:rPr>
          <w:rFonts w:ascii="Times New Roman" w:hAnsi="Times New Roman" w:cs="Times New Roman"/>
          <w:sz w:val="24"/>
          <w:szCs w:val="24"/>
          <w:lang w:val="ru-RU"/>
        </w:rPr>
        <w:t>ревитализации</w:t>
      </w:r>
      <w:proofErr w:type="spellEnd"/>
      <w:r w:rsidRPr="00EF5609">
        <w:rPr>
          <w:rFonts w:ascii="Times New Roman" w:hAnsi="Times New Roman" w:cs="Times New Roman"/>
          <w:sz w:val="24"/>
          <w:szCs w:val="24"/>
          <w:lang w:val="ru-RU"/>
        </w:rPr>
        <w:t xml:space="preserve"> микрорайонов. Существенной проблемой является отсутствие ливневой канализации, что приводит к регулярным затоплениям во время проливных дождей.</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Вулканештах ситуация более острая: по данным 2024 года около 70% дорог не имеют асфальтового покрытия. Часть дорог в городе имеет щебёночное (гравийное) покрытие. За период 2022–2024 годов число </w:t>
      </w:r>
      <w:proofErr w:type="spellStart"/>
      <w:r w:rsidRPr="00EF5609">
        <w:rPr>
          <w:rFonts w:ascii="Times New Roman" w:hAnsi="Times New Roman" w:cs="Times New Roman"/>
          <w:sz w:val="24"/>
          <w:szCs w:val="24"/>
          <w:lang w:val="ru-RU"/>
        </w:rPr>
        <w:t>неасфальтированных</w:t>
      </w:r>
      <w:proofErr w:type="spellEnd"/>
      <w:r w:rsidRPr="00EF5609">
        <w:rPr>
          <w:rFonts w:ascii="Times New Roman" w:hAnsi="Times New Roman" w:cs="Times New Roman"/>
          <w:sz w:val="24"/>
          <w:szCs w:val="24"/>
          <w:lang w:val="ru-RU"/>
        </w:rPr>
        <w:t xml:space="preserve"> улиц сократилось всего на 2 единицы (со 112 до 110), что свидетельствует о крайне медленных темпах улучшения ситуации.</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Состояние дорожной инфраструктуры и общественного транспорта в муниципии Комрат характеризуется рядом серьезных системных проблем. Около 40% дорожной сети города остаётся без капитального покрытия.  Качество покрытия крайне неравномерно. Если в центральной части города ситуация </w:t>
      </w:r>
      <w:r>
        <w:rPr>
          <w:rFonts w:ascii="Times New Roman" w:hAnsi="Times New Roman" w:cs="Times New Roman"/>
          <w:sz w:val="24"/>
          <w:szCs w:val="24"/>
          <w:lang w:val="ru-RU"/>
        </w:rPr>
        <w:t xml:space="preserve">более – менее </w:t>
      </w:r>
      <w:r w:rsidRPr="00EF5609">
        <w:rPr>
          <w:rFonts w:ascii="Times New Roman" w:hAnsi="Times New Roman" w:cs="Times New Roman"/>
          <w:sz w:val="24"/>
          <w:szCs w:val="24"/>
          <w:lang w:val="ru-RU"/>
        </w:rPr>
        <w:t>удовлетворительная, то в периферийных районах города улицы находятся в плохом состоянии или не имеют твердого покрытия.</w:t>
      </w:r>
    </w:p>
    <w:p w:rsidR="00BD6565" w:rsidRPr="00AB68D4" w:rsidRDefault="003F5D83" w:rsidP="00AB68D4">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Основные узлы (центр, район рынка) перегружены. Из-за отсутствия системы платных парковок и дефицита мест (заполняемость более 85%) возникают заторы и хаотичная стоянка на обочинах.</w:t>
      </w:r>
    </w:p>
    <w:p w:rsidR="002E79D5" w:rsidRDefault="002E79D5" w:rsidP="003F5D83">
      <w:pPr>
        <w:spacing w:before="120" w:after="60"/>
        <w:jc w:val="center"/>
        <w:rPr>
          <w:rFonts w:ascii="Times New Roman" w:eastAsia="Arial" w:hAnsi="Times New Roman" w:cs="Times New Roman"/>
          <w:b/>
          <w:bCs/>
          <w:color w:val="000000" w:themeColor="text1"/>
          <w:sz w:val="24"/>
          <w:szCs w:val="24"/>
          <w:lang w:val="ru-RU"/>
        </w:rPr>
      </w:pPr>
    </w:p>
    <w:p w:rsidR="002E79D5" w:rsidRDefault="002E79D5" w:rsidP="003F5D83">
      <w:pPr>
        <w:spacing w:before="120" w:after="60"/>
        <w:jc w:val="center"/>
        <w:rPr>
          <w:rFonts w:ascii="Times New Roman" w:eastAsia="Arial" w:hAnsi="Times New Roman" w:cs="Times New Roman"/>
          <w:b/>
          <w:bCs/>
          <w:color w:val="000000" w:themeColor="text1"/>
          <w:sz w:val="24"/>
          <w:szCs w:val="24"/>
          <w:lang w:val="ru-RU"/>
        </w:rPr>
      </w:pPr>
    </w:p>
    <w:p w:rsidR="002E79D5" w:rsidRDefault="002E79D5" w:rsidP="003F5D83">
      <w:pPr>
        <w:spacing w:before="120" w:after="60"/>
        <w:jc w:val="center"/>
        <w:rPr>
          <w:rFonts w:ascii="Times New Roman" w:eastAsia="Arial" w:hAnsi="Times New Roman" w:cs="Times New Roman"/>
          <w:b/>
          <w:bCs/>
          <w:color w:val="000000" w:themeColor="text1"/>
          <w:sz w:val="24"/>
          <w:szCs w:val="24"/>
          <w:lang w:val="ru-RU"/>
        </w:rPr>
      </w:pPr>
    </w:p>
    <w:p w:rsidR="003F5D83" w:rsidRDefault="003F5D83" w:rsidP="003F5D83">
      <w:pPr>
        <w:spacing w:before="120" w:after="60"/>
        <w:jc w:val="center"/>
        <w:rPr>
          <w:rFonts w:ascii="Times New Roman" w:eastAsia="Arial" w:hAnsi="Times New Roman" w:cs="Times New Roman"/>
          <w:b/>
          <w:bCs/>
          <w:color w:val="000000" w:themeColor="text1"/>
          <w:sz w:val="24"/>
          <w:szCs w:val="24"/>
          <w:lang w:val="ru-RU"/>
        </w:rPr>
      </w:pPr>
      <w:r w:rsidRPr="008E49E4">
        <w:rPr>
          <w:rFonts w:ascii="Times New Roman" w:eastAsia="Arial" w:hAnsi="Times New Roman" w:cs="Times New Roman"/>
          <w:b/>
          <w:bCs/>
          <w:color w:val="000000" w:themeColor="text1"/>
          <w:sz w:val="24"/>
          <w:szCs w:val="24"/>
          <w:lang w:val="ru-RU"/>
        </w:rPr>
        <w:t>Таблица</w:t>
      </w:r>
      <w:r>
        <w:rPr>
          <w:rFonts w:ascii="Times New Roman" w:eastAsia="Arial" w:hAnsi="Times New Roman" w:cs="Times New Roman"/>
          <w:b/>
          <w:bCs/>
          <w:color w:val="000000" w:themeColor="text1"/>
          <w:sz w:val="24"/>
          <w:szCs w:val="24"/>
          <w:lang w:val="ru-RU"/>
        </w:rPr>
        <w:t xml:space="preserve"> 2.14. </w:t>
      </w:r>
      <w:r w:rsidRPr="008E49E4">
        <w:rPr>
          <w:rFonts w:ascii="Times New Roman" w:eastAsia="Arial" w:hAnsi="Times New Roman" w:cs="Times New Roman"/>
          <w:b/>
          <w:bCs/>
          <w:color w:val="000000" w:themeColor="text1"/>
          <w:sz w:val="24"/>
          <w:szCs w:val="24"/>
          <w:lang w:val="ru-RU"/>
        </w:rPr>
        <w:t>Сравнение состояния дорожной инфраструктуры</w:t>
      </w:r>
    </w:p>
    <w:p w:rsidR="00AB68D4" w:rsidRPr="008E49E4" w:rsidRDefault="00AB68D4" w:rsidP="003F5D83">
      <w:pPr>
        <w:spacing w:before="120" w:after="60"/>
        <w:jc w:val="center"/>
        <w:rPr>
          <w:rFonts w:ascii="Times New Roman" w:hAnsi="Times New Roman" w:cs="Times New Roman"/>
          <w:color w:val="000000" w:themeColor="text1"/>
          <w:sz w:val="24"/>
          <w:szCs w:val="24"/>
          <w:lang w:val="ru-RU"/>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1953"/>
        <w:gridCol w:w="1953"/>
        <w:gridCol w:w="1954"/>
      </w:tblGrid>
      <w:tr w:rsidR="003F5D83" w:rsidRPr="0024676C" w:rsidTr="003F5D83">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EC27A2" w:rsidRDefault="003F5D83" w:rsidP="003F5D83">
            <w:pPr>
              <w:spacing w:after="0" w:line="240" w:lineRule="auto"/>
              <w:jc w:val="center"/>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Показатель</w:t>
            </w:r>
          </w:p>
        </w:tc>
        <w:tc>
          <w:tcPr>
            <w:tcW w:w="195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EC27A2" w:rsidRDefault="003F5D83" w:rsidP="003F5D83">
            <w:pPr>
              <w:spacing w:after="0" w:line="240" w:lineRule="auto"/>
              <w:jc w:val="center"/>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Комрат</w:t>
            </w:r>
          </w:p>
        </w:tc>
        <w:tc>
          <w:tcPr>
            <w:tcW w:w="195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EC27A2" w:rsidRDefault="003F5D83" w:rsidP="003F5D83">
            <w:pPr>
              <w:spacing w:after="0" w:line="240" w:lineRule="auto"/>
              <w:jc w:val="center"/>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Чадыр-Лунга</w:t>
            </w:r>
          </w:p>
        </w:tc>
        <w:tc>
          <w:tcPr>
            <w:tcW w:w="195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rsidR="003F5D83" w:rsidRPr="00EC27A2" w:rsidRDefault="003F5D83" w:rsidP="003F5D83">
            <w:pPr>
              <w:spacing w:after="0" w:line="240" w:lineRule="auto"/>
              <w:jc w:val="center"/>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Вулканешты</w:t>
            </w:r>
          </w:p>
        </w:tc>
      </w:tr>
      <w:tr w:rsidR="003F5D83" w:rsidRPr="0024676C"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Общая протяжённость дорог</w:t>
            </w:r>
          </w:p>
          <w:p w:rsidR="00AB68D4" w:rsidRPr="00EC27A2" w:rsidRDefault="00AB68D4" w:rsidP="003F5D83">
            <w:pPr>
              <w:spacing w:after="0" w:line="240" w:lineRule="auto"/>
              <w:rPr>
                <w:rFonts w:ascii="Times New Roman" w:hAnsi="Times New Roman" w:cs="Times New Roman"/>
                <w:b/>
                <w:bCs/>
                <w:sz w:val="24"/>
                <w:szCs w:val="24"/>
                <w:lang w:val="ru-RU"/>
              </w:rPr>
            </w:pP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149 км</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110 км</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113,7 км</w:t>
            </w:r>
          </w:p>
        </w:tc>
      </w:tr>
      <w:tr w:rsidR="003F5D83" w:rsidRPr="0024676C"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Доля с твёрдым покрытием</w:t>
            </w:r>
          </w:p>
          <w:p w:rsidR="00AB68D4" w:rsidRPr="00EC27A2" w:rsidRDefault="00AB68D4" w:rsidP="003F5D83">
            <w:pPr>
              <w:spacing w:after="0" w:line="240" w:lineRule="auto"/>
              <w:rPr>
                <w:rFonts w:ascii="Times New Roman" w:hAnsi="Times New Roman" w:cs="Times New Roman"/>
                <w:b/>
                <w:bCs/>
                <w:sz w:val="24"/>
                <w:szCs w:val="24"/>
                <w:lang w:val="ru-RU"/>
              </w:rPr>
            </w:pP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60%</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45%</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30%</w:t>
            </w:r>
          </w:p>
        </w:tc>
      </w:tr>
      <w:tr w:rsidR="003F5D83" w:rsidRPr="0024676C" w:rsidTr="003F5D83">
        <w:trPr>
          <w:trHeight w:val="589"/>
        </w:trPr>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 xml:space="preserve">Доля </w:t>
            </w:r>
            <w:proofErr w:type="spellStart"/>
            <w:r w:rsidRPr="00EC27A2">
              <w:rPr>
                <w:rFonts w:ascii="Times New Roman" w:hAnsi="Times New Roman" w:cs="Times New Roman"/>
                <w:b/>
                <w:bCs/>
                <w:sz w:val="24"/>
                <w:szCs w:val="24"/>
                <w:lang w:val="ru-RU"/>
              </w:rPr>
              <w:t>неасфальтированных</w:t>
            </w:r>
            <w:proofErr w:type="spellEnd"/>
            <w:r w:rsidRPr="00EC27A2">
              <w:rPr>
                <w:rFonts w:ascii="Times New Roman" w:hAnsi="Times New Roman" w:cs="Times New Roman"/>
                <w:b/>
                <w:bCs/>
                <w:sz w:val="24"/>
                <w:szCs w:val="24"/>
                <w:lang w:val="ru-RU"/>
              </w:rPr>
              <w:t xml:space="preserve"> улиц</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40%</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55%</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70%</w:t>
            </w:r>
          </w:p>
        </w:tc>
      </w:tr>
      <w:tr w:rsidR="003F5D83" w:rsidRPr="0024676C"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Наличие ливневой канализации</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Частично</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Отсутствует</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Частично</w:t>
            </w:r>
          </w:p>
        </w:tc>
      </w:tr>
      <w:tr w:rsidR="003F5D83" w:rsidRPr="0024676C"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Риски затопления</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Умеренные</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Высокие (регулярные)</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Умеренные</w:t>
            </w:r>
          </w:p>
        </w:tc>
      </w:tr>
      <w:tr w:rsidR="003F5D83" w:rsidRPr="0024676C"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Программы модернизации дорог</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ПЭР 2025–2027</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 xml:space="preserve">Программа </w:t>
            </w:r>
            <w:proofErr w:type="spellStart"/>
            <w:r w:rsidRPr="00EC27A2">
              <w:rPr>
                <w:rFonts w:ascii="Times New Roman" w:hAnsi="Times New Roman" w:cs="Times New Roman"/>
                <w:sz w:val="24"/>
                <w:szCs w:val="24"/>
                <w:lang w:val="ru-RU"/>
              </w:rPr>
              <w:t>ревитализации</w:t>
            </w:r>
            <w:proofErr w:type="spellEnd"/>
            <w:r w:rsidRPr="00EC27A2">
              <w:rPr>
                <w:rFonts w:ascii="Times New Roman" w:hAnsi="Times New Roman" w:cs="Times New Roman"/>
                <w:sz w:val="24"/>
                <w:szCs w:val="24"/>
                <w:lang w:val="ru-RU"/>
              </w:rPr>
              <w:t xml:space="preserve"> 2026–2030</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 xml:space="preserve">В разработке Программа </w:t>
            </w:r>
            <w:proofErr w:type="spellStart"/>
            <w:r w:rsidRPr="00EC27A2">
              <w:rPr>
                <w:rFonts w:ascii="Times New Roman" w:hAnsi="Times New Roman" w:cs="Times New Roman"/>
                <w:sz w:val="24"/>
                <w:szCs w:val="24"/>
                <w:lang w:val="ru-RU"/>
              </w:rPr>
              <w:t>ревитализации</w:t>
            </w:r>
            <w:proofErr w:type="spellEnd"/>
            <w:r w:rsidRPr="00EC27A2">
              <w:rPr>
                <w:rFonts w:ascii="Times New Roman" w:hAnsi="Times New Roman" w:cs="Times New Roman"/>
                <w:sz w:val="24"/>
                <w:szCs w:val="24"/>
                <w:lang w:val="ru-RU"/>
              </w:rPr>
              <w:t xml:space="preserve"> 2026-2030</w:t>
            </w:r>
          </w:p>
        </w:tc>
      </w:tr>
      <w:tr w:rsidR="003F5D83" w:rsidRPr="0024676C"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Ж/Д станция / вокзал</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Автовокзал</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885A80" w:rsidP="003F5D8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Ж</w:t>
            </w:r>
            <w:r w:rsidR="003F5D83" w:rsidRPr="00EC27A2">
              <w:rPr>
                <w:rFonts w:ascii="Times New Roman" w:hAnsi="Times New Roman" w:cs="Times New Roman"/>
                <w:sz w:val="24"/>
                <w:szCs w:val="24"/>
                <w:lang w:val="ru-RU"/>
              </w:rPr>
              <w:t>Д станция и автовокзал</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Автовокзал</w:t>
            </w:r>
          </w:p>
        </w:tc>
      </w:tr>
      <w:tr w:rsidR="003F5D83" w:rsidRPr="0024676C" w:rsidTr="003F5D83">
        <w:tc>
          <w:tcPr>
            <w:tcW w:w="35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Default="003F5D83" w:rsidP="003F5D83">
            <w:pPr>
              <w:spacing w:after="0" w:line="240" w:lineRule="auto"/>
              <w:rPr>
                <w:rFonts w:ascii="Times New Roman" w:hAnsi="Times New Roman" w:cs="Times New Roman"/>
                <w:b/>
                <w:bCs/>
                <w:sz w:val="24"/>
                <w:szCs w:val="24"/>
                <w:lang w:val="ru-RU"/>
              </w:rPr>
            </w:pPr>
            <w:r w:rsidRPr="00EC27A2">
              <w:rPr>
                <w:rFonts w:ascii="Times New Roman" w:hAnsi="Times New Roman" w:cs="Times New Roman"/>
                <w:b/>
                <w:bCs/>
                <w:sz w:val="24"/>
                <w:szCs w:val="24"/>
                <w:lang w:val="ru-RU"/>
              </w:rPr>
              <w:t>КПП на границе (Украина)</w:t>
            </w:r>
          </w:p>
          <w:p w:rsidR="00AB68D4" w:rsidRPr="00EC27A2" w:rsidRDefault="00AB68D4" w:rsidP="003F5D83">
            <w:pPr>
              <w:spacing w:after="0" w:line="240" w:lineRule="auto"/>
              <w:rPr>
                <w:rFonts w:ascii="Times New Roman" w:hAnsi="Times New Roman" w:cs="Times New Roman"/>
                <w:b/>
                <w:bCs/>
                <w:sz w:val="24"/>
                <w:szCs w:val="24"/>
                <w:lang w:val="ru-RU"/>
              </w:rPr>
            </w:pP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Нет</w:t>
            </w:r>
          </w:p>
        </w:tc>
        <w:tc>
          <w:tcPr>
            <w:tcW w:w="195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2 КПП</w:t>
            </w:r>
          </w:p>
        </w:tc>
        <w:tc>
          <w:tcPr>
            <w:tcW w:w="195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rsidR="003F5D83" w:rsidRPr="00EC27A2" w:rsidRDefault="003F5D83" w:rsidP="003F5D83">
            <w:pPr>
              <w:spacing w:after="0" w:line="240" w:lineRule="auto"/>
              <w:jc w:val="center"/>
              <w:rPr>
                <w:rFonts w:ascii="Times New Roman" w:hAnsi="Times New Roman" w:cs="Times New Roman"/>
                <w:sz w:val="24"/>
                <w:szCs w:val="24"/>
                <w:lang w:val="ru-RU"/>
              </w:rPr>
            </w:pPr>
            <w:r w:rsidRPr="00EC27A2">
              <w:rPr>
                <w:rFonts w:ascii="Times New Roman" w:hAnsi="Times New Roman" w:cs="Times New Roman"/>
                <w:sz w:val="24"/>
                <w:szCs w:val="24"/>
                <w:lang w:val="ru-RU"/>
              </w:rPr>
              <w:t>1 КПП</w:t>
            </w:r>
          </w:p>
        </w:tc>
      </w:tr>
    </w:tbl>
    <w:p w:rsidR="003F5D83" w:rsidRPr="00B6503E" w:rsidRDefault="003F5D83" w:rsidP="003F5D83">
      <w:pPr>
        <w:jc w:val="both"/>
        <w:rPr>
          <w:rFonts w:ascii="Times New Roman" w:hAnsi="Times New Roman" w:cs="Times New Roman"/>
          <w:i/>
          <w:iCs/>
          <w:sz w:val="16"/>
          <w:szCs w:val="16"/>
          <w:lang w:val="ru-RU"/>
        </w:rPr>
      </w:pPr>
      <w:r w:rsidRPr="00B6503E">
        <w:rPr>
          <w:rFonts w:ascii="Times New Roman" w:hAnsi="Times New Roman" w:cs="Times New Roman"/>
          <w:i/>
          <w:iCs/>
          <w:sz w:val="16"/>
          <w:szCs w:val="16"/>
          <w:lang w:val="ru-RU"/>
        </w:rPr>
        <w:t>Источник: ОМПУ и собственные расчеты</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Система общественного транспорта в АТО Гагаузия характеризуется значительными недостатками и не обеспечивает в полной мере потребностей жителей. Автобусное сообщение связывает три города между собой и с Кишинёвом, однако периодичность рейсов, особенно в вечерние часы и в выходные дни, недостаточна. Внутригородской общественный транспорт фактически отсутствует в Вулканештах и ограничен в Чадыр-Лунге. В Комрате имеются маршрутные такси, однако охват всех районов города остаётся неполным</w:t>
      </w:r>
      <w:r>
        <w:rPr>
          <w:rFonts w:ascii="Times New Roman" w:hAnsi="Times New Roman" w:cs="Times New Roman"/>
          <w:sz w:val="24"/>
          <w:szCs w:val="24"/>
          <w:lang w:val="ru-RU"/>
        </w:rPr>
        <w:t>, транспортные средства старые, не соответствуют нормам пассажироперевозок</w:t>
      </w:r>
      <w:r w:rsidRPr="00EF5609">
        <w:rPr>
          <w:rFonts w:ascii="Times New Roman" w:hAnsi="Times New Roman" w:cs="Times New Roman"/>
          <w:sz w:val="24"/>
          <w:szCs w:val="24"/>
          <w:lang w:val="ru-RU"/>
        </w:rPr>
        <w:t>.</w:t>
      </w:r>
    </w:p>
    <w:p w:rsidR="003F5D83" w:rsidRPr="00EF5609"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В Плане экономического развития Комрата на 2025–2027 годы «услуги местного общественного транспорта» оцениваются как область с недостаточным кадровым обеспечением (оценка 2 из 3 по методологии </w:t>
      </w:r>
      <w:r w:rsidRPr="0024676C">
        <w:rPr>
          <w:rFonts w:ascii="Times New Roman" w:hAnsi="Times New Roman" w:cs="Times New Roman"/>
          <w:sz w:val="24"/>
          <w:szCs w:val="24"/>
        </w:rPr>
        <w:t>FOCAS</w:t>
      </w:r>
      <w:r w:rsidRPr="00EF5609">
        <w:rPr>
          <w:rFonts w:ascii="Times New Roman" w:hAnsi="Times New Roman" w:cs="Times New Roman"/>
          <w:sz w:val="24"/>
          <w:szCs w:val="24"/>
          <w:lang w:val="ru-RU"/>
        </w:rPr>
        <w:t>), что косвенно подтверждает системный характер проблемы. Чадыр-Лунга имеет стратегическое преимущество в виде железнодорожного сообщения и железнодорожного вокзала, однако активность пассажирских перевозок снижается.</w:t>
      </w:r>
    </w:p>
    <w:p w:rsidR="003F5D83" w:rsidRPr="000E2CEB" w:rsidRDefault="003F5D83" w:rsidP="003F5D83">
      <w:pPr>
        <w:spacing w:after="0" w:line="240" w:lineRule="auto"/>
        <w:ind w:firstLine="709"/>
        <w:jc w:val="both"/>
        <w:rPr>
          <w:rFonts w:ascii="Times New Roman" w:hAnsi="Times New Roman" w:cs="Times New Roman"/>
          <w:sz w:val="24"/>
          <w:szCs w:val="24"/>
          <w:lang w:val="ru-RU"/>
        </w:rPr>
      </w:pPr>
      <w:r w:rsidRPr="00EF5609">
        <w:rPr>
          <w:rFonts w:ascii="Times New Roman" w:hAnsi="Times New Roman" w:cs="Times New Roman"/>
          <w:sz w:val="24"/>
          <w:szCs w:val="24"/>
          <w:lang w:val="ru-RU"/>
        </w:rPr>
        <w:t xml:space="preserve">Дополнительным преимуществом является расположение </w:t>
      </w:r>
      <w:proofErr w:type="spellStart"/>
      <w:r w:rsidRPr="00EF5609">
        <w:rPr>
          <w:rFonts w:ascii="Times New Roman" w:hAnsi="Times New Roman" w:cs="Times New Roman"/>
          <w:sz w:val="24"/>
          <w:szCs w:val="24"/>
          <w:lang w:val="ru-RU"/>
        </w:rPr>
        <w:t>мун</w:t>
      </w:r>
      <w:proofErr w:type="spellEnd"/>
      <w:r w:rsidRPr="00EF5609">
        <w:rPr>
          <w:rFonts w:ascii="Times New Roman" w:hAnsi="Times New Roman" w:cs="Times New Roman"/>
          <w:sz w:val="24"/>
          <w:szCs w:val="24"/>
          <w:lang w:val="ru-RU"/>
        </w:rPr>
        <w:t xml:space="preserve">. Чадыр-Лунга в 5 км от двух контрольно-пропускных пунктов на украинской границе («Чадыр-Лунга — Новые Трояны» и «Чадыр-Лунга — Малоярославец»). </w:t>
      </w:r>
      <w:r w:rsidR="00AB68D4">
        <w:rPr>
          <w:rFonts w:ascii="Times New Roman" w:hAnsi="Times New Roman" w:cs="Times New Roman"/>
          <w:sz w:val="24"/>
          <w:szCs w:val="24"/>
          <w:lang w:val="ru-RU"/>
        </w:rPr>
        <w:t>В условиях</w:t>
      </w:r>
      <w:r w:rsidRPr="00EF5609">
        <w:rPr>
          <w:rFonts w:ascii="Times New Roman" w:hAnsi="Times New Roman" w:cs="Times New Roman"/>
          <w:sz w:val="24"/>
          <w:szCs w:val="24"/>
          <w:lang w:val="ru-RU"/>
        </w:rPr>
        <w:t xml:space="preserve"> функционирующих КПП</w:t>
      </w:r>
      <w:r w:rsidR="00885A80">
        <w:rPr>
          <w:rFonts w:ascii="Times New Roman" w:hAnsi="Times New Roman" w:cs="Times New Roman"/>
          <w:sz w:val="24"/>
          <w:szCs w:val="24"/>
          <w:lang w:val="ru-RU"/>
        </w:rPr>
        <w:t>,</w:t>
      </w:r>
      <w:r w:rsidRPr="00EF5609">
        <w:rPr>
          <w:rFonts w:ascii="Times New Roman" w:hAnsi="Times New Roman" w:cs="Times New Roman"/>
          <w:sz w:val="24"/>
          <w:szCs w:val="24"/>
          <w:lang w:val="ru-RU"/>
        </w:rPr>
        <w:t xml:space="preserve"> это создаёт возможности для развития логистики и приграничной торговли.</w:t>
      </w:r>
    </w:p>
    <w:p w:rsidR="003F5D83" w:rsidRPr="00D524CE" w:rsidRDefault="003F5D83" w:rsidP="003F5D83">
      <w:pPr>
        <w:spacing w:after="0" w:line="240" w:lineRule="auto"/>
        <w:ind w:firstLine="709"/>
        <w:jc w:val="both"/>
        <w:rPr>
          <w:rFonts w:ascii="Times New Roman" w:eastAsia="Times New Roman" w:hAnsi="Times New Roman" w:cs="Times New Roman"/>
          <w:b/>
          <w:bCs/>
          <w:color w:val="000000"/>
          <w:sz w:val="24"/>
          <w:szCs w:val="24"/>
          <w:highlight w:val="cyan"/>
          <w:lang w:val="ru-RU"/>
        </w:rPr>
      </w:pPr>
    </w:p>
    <w:p w:rsidR="003F5D83" w:rsidRDefault="003F5D83" w:rsidP="003F5D83">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2.3 Возможности для экономического развития региона</w:t>
      </w:r>
    </w:p>
    <w:p w:rsidR="00BD6565" w:rsidRPr="00AB68D4" w:rsidRDefault="003F5D83" w:rsidP="00AB68D4">
      <w:pPr>
        <w:spacing w:after="0" w:line="240" w:lineRule="auto"/>
        <w:ind w:firstLine="709"/>
        <w:jc w:val="both"/>
        <w:rPr>
          <w:rFonts w:ascii="Times New Roman" w:eastAsia="Times New Roman" w:hAnsi="Times New Roman" w:cs="Times New Roman"/>
          <w:sz w:val="24"/>
          <w:szCs w:val="24"/>
          <w:lang w:val="ru-RU"/>
        </w:rPr>
      </w:pPr>
      <w:r w:rsidRPr="000671C8">
        <w:rPr>
          <w:rFonts w:ascii="Times New Roman" w:eastAsia="Times New Roman" w:hAnsi="Times New Roman" w:cs="Times New Roman"/>
          <w:sz w:val="24"/>
          <w:szCs w:val="24"/>
          <w:lang w:val="ru-RU"/>
        </w:rPr>
        <w:t xml:space="preserve">Инвестиции выступают одним из ключевых драйверов экономического роста, обеспечивая обновление производственного потенциала и развитие инфраструктуры. </w:t>
      </w:r>
      <w:r w:rsidRPr="000671C8">
        <w:rPr>
          <w:rFonts w:ascii="Times New Roman" w:eastAsia="Times New Roman" w:hAnsi="Times New Roman" w:cs="Times New Roman"/>
          <w:sz w:val="24"/>
          <w:szCs w:val="24"/>
          <w:lang w:val="ru-RU"/>
        </w:rPr>
        <w:lastRenderedPageBreak/>
        <w:t>Анализ инвестиционной активности позволяет определить место АТО Гагаузия в национальной экономике и выявить основные тенденции её развития.</w:t>
      </w: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671C8">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2.15.</w:t>
      </w:r>
      <w:r w:rsidRPr="000671C8">
        <w:rPr>
          <w:rFonts w:ascii="Times New Roman" w:hAnsi="Times New Roman" w:cs="Times New Roman"/>
          <w:b/>
          <w:bCs/>
          <w:kern w:val="2"/>
          <w:sz w:val="24"/>
          <w:szCs w:val="24"/>
          <w:lang w:val="ru-RU"/>
          <w14:ligatures w14:val="standardContextual"/>
        </w:rPr>
        <w:t xml:space="preserve"> Динамика инвестиционной активности по регионам развития Республики Молдова, 20</w:t>
      </w:r>
      <w:r>
        <w:rPr>
          <w:rFonts w:ascii="Times New Roman" w:hAnsi="Times New Roman" w:cs="Times New Roman"/>
          <w:b/>
          <w:bCs/>
          <w:kern w:val="2"/>
          <w:sz w:val="24"/>
          <w:szCs w:val="24"/>
          <w:lang w:val="ru-RU"/>
          <w14:ligatures w14:val="standardContextual"/>
        </w:rPr>
        <w:t>20</w:t>
      </w:r>
      <w:r w:rsidRPr="000671C8">
        <w:rPr>
          <w:rFonts w:ascii="Times New Roman" w:hAnsi="Times New Roman" w:cs="Times New Roman"/>
          <w:b/>
          <w:bCs/>
          <w:kern w:val="2"/>
          <w:sz w:val="24"/>
          <w:szCs w:val="24"/>
          <w:lang w:val="ru-RU"/>
          <w14:ligatures w14:val="standardContextual"/>
        </w:rPr>
        <w:t>–2024 гг., млн леев</w:t>
      </w:r>
    </w:p>
    <w:p w:rsidR="00885A80" w:rsidRPr="000671C8" w:rsidRDefault="00885A80"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362"/>
        <w:gridCol w:w="1363"/>
        <w:gridCol w:w="1363"/>
        <w:gridCol w:w="1363"/>
        <w:gridCol w:w="1363"/>
      </w:tblGrid>
      <w:tr w:rsidR="003F5D83" w:rsidRPr="000671C8" w:rsidTr="00AB68D4">
        <w:trPr>
          <w:trHeight w:val="236"/>
        </w:trPr>
        <w:tc>
          <w:tcPr>
            <w:tcW w:w="0" w:type="auto"/>
            <w:hideMark/>
          </w:tcPr>
          <w:p w:rsidR="003F5D83" w:rsidRPr="000671C8" w:rsidRDefault="003F5D83" w:rsidP="00BD6565">
            <w:pPr>
              <w:rPr>
                <w:rFonts w:ascii="Times New Roman" w:hAnsi="Times New Roman" w:cs="Times New Roman"/>
                <w:b/>
                <w:bCs/>
                <w:kern w:val="2"/>
                <w:sz w:val="24"/>
                <w:szCs w:val="24"/>
                <w:lang w:val="ru-RU"/>
                <w14:ligatures w14:val="standardContextual"/>
              </w:rPr>
            </w:pPr>
            <w:r w:rsidRPr="000671C8">
              <w:rPr>
                <w:rFonts w:ascii="Times New Roman" w:hAnsi="Times New Roman" w:cs="Times New Roman"/>
                <w:kern w:val="2"/>
                <w:sz w:val="24"/>
                <w:szCs w:val="24"/>
                <w14:ligatures w14:val="standardContextual"/>
              </w:rPr>
              <w:t> </w:t>
            </w:r>
            <w:r w:rsidRPr="000671C8">
              <w:rPr>
                <w:rFonts w:ascii="Times New Roman" w:hAnsi="Times New Roman" w:cs="Times New Roman"/>
                <w:b/>
                <w:bCs/>
                <w:kern w:val="2"/>
                <w:sz w:val="24"/>
                <w:szCs w:val="24"/>
                <w:lang w:val="ru-RU"/>
                <w14:ligatures w14:val="standardContextual"/>
              </w:rPr>
              <w:t xml:space="preserve">Регион </w:t>
            </w:r>
          </w:p>
        </w:tc>
        <w:tc>
          <w:tcPr>
            <w:tcW w:w="0" w:type="auto"/>
            <w:hideMark/>
          </w:tcPr>
          <w:p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2020</w:t>
            </w:r>
          </w:p>
        </w:tc>
        <w:tc>
          <w:tcPr>
            <w:tcW w:w="0" w:type="auto"/>
            <w:hideMark/>
          </w:tcPr>
          <w:p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2021</w:t>
            </w:r>
          </w:p>
        </w:tc>
        <w:tc>
          <w:tcPr>
            <w:tcW w:w="0" w:type="auto"/>
            <w:hideMark/>
          </w:tcPr>
          <w:p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2022</w:t>
            </w:r>
          </w:p>
        </w:tc>
        <w:tc>
          <w:tcPr>
            <w:tcW w:w="0" w:type="auto"/>
            <w:hideMark/>
          </w:tcPr>
          <w:p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2023</w:t>
            </w:r>
          </w:p>
        </w:tc>
        <w:tc>
          <w:tcPr>
            <w:tcW w:w="0" w:type="auto"/>
            <w:hideMark/>
          </w:tcPr>
          <w:p w:rsidR="003F5D83" w:rsidRPr="000671C8" w:rsidRDefault="003F5D83" w:rsidP="00BD6565">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2024</w:t>
            </w:r>
          </w:p>
        </w:tc>
      </w:tr>
      <w:tr w:rsidR="003F5D83" w:rsidRPr="000671C8" w:rsidTr="00AB68D4">
        <w:trPr>
          <w:trHeight w:val="213"/>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proofErr w:type="spellStart"/>
            <w:r w:rsidRPr="000671C8">
              <w:rPr>
                <w:rFonts w:ascii="Times New Roman" w:hAnsi="Times New Roman" w:cs="Times New Roman"/>
                <w:kern w:val="2"/>
                <w:sz w:val="24"/>
                <w:szCs w:val="24"/>
                <w14:ligatures w14:val="standardContextual"/>
              </w:rPr>
              <w:t>Всего</w:t>
            </w:r>
            <w:proofErr w:type="spellEnd"/>
            <w:r w:rsidRPr="000671C8">
              <w:rPr>
                <w:rFonts w:ascii="Times New Roman" w:hAnsi="Times New Roman" w:cs="Times New Roman"/>
                <w:kern w:val="2"/>
                <w:sz w:val="24"/>
                <w:szCs w:val="24"/>
                <w:lang w:val="ru-RU"/>
                <w14:ligatures w14:val="standardContextual"/>
              </w:rPr>
              <w:t xml:space="preserve"> по стране </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30 089,6</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35 411,2</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37 107,5</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38 367,5</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42 103,6</w:t>
            </w:r>
          </w:p>
        </w:tc>
      </w:tr>
      <w:tr w:rsidR="003F5D83" w:rsidRPr="000671C8" w:rsidTr="00AB68D4">
        <w:trPr>
          <w:trHeight w:val="454"/>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Кишинев</w:t>
            </w:r>
            <w:proofErr w:type="spellEnd"/>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20 519,9</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23 445,0</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23 761,7</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24 697,0</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27 218,0</w:t>
            </w:r>
          </w:p>
        </w:tc>
      </w:tr>
      <w:tr w:rsidR="003F5D83" w:rsidRPr="000671C8" w:rsidTr="00AB68D4">
        <w:trPr>
          <w:trHeight w:val="226"/>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Север</w:t>
            </w:r>
            <w:proofErr w:type="spellEnd"/>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3 357,7</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4 474,1</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4 981,0</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4 902,0</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5 170,9</w:t>
            </w:r>
          </w:p>
        </w:tc>
      </w:tr>
      <w:tr w:rsidR="003F5D83" w:rsidRPr="000671C8" w:rsidTr="00AB68D4">
        <w:trPr>
          <w:trHeight w:val="226"/>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Центр</w:t>
            </w:r>
            <w:proofErr w:type="spellEnd"/>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4 067,2</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4 610,7</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4 777,0</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5 101,3</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5 797,1</w:t>
            </w:r>
          </w:p>
        </w:tc>
      </w:tr>
      <w:tr w:rsidR="003F5D83" w:rsidRPr="000671C8" w:rsidTr="00AB68D4">
        <w:trPr>
          <w:trHeight w:val="226"/>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Юг</w:t>
            </w:r>
            <w:proofErr w:type="spellEnd"/>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1 577,8</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1 947,4</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2 533,5</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2 704,4</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2 965,1</w:t>
            </w:r>
          </w:p>
        </w:tc>
      </w:tr>
      <w:tr w:rsidR="003F5D83" w:rsidRPr="000671C8" w:rsidTr="00AB68D4">
        <w:trPr>
          <w:trHeight w:val="226"/>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АТО </w:t>
            </w:r>
            <w:proofErr w:type="spellStart"/>
            <w:r w:rsidRPr="000671C8">
              <w:rPr>
                <w:rFonts w:ascii="Times New Roman" w:hAnsi="Times New Roman" w:cs="Times New Roman"/>
                <w:kern w:val="2"/>
                <w:sz w:val="24"/>
                <w:szCs w:val="24"/>
                <w14:ligatures w14:val="standardContextual"/>
              </w:rPr>
              <w:t>Гагаузия</w:t>
            </w:r>
            <w:proofErr w:type="spellEnd"/>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567,0</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934,0</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1 054,3</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962,8</w:t>
            </w:r>
          </w:p>
        </w:tc>
        <w:tc>
          <w:tcPr>
            <w:tcW w:w="0" w:type="auto"/>
            <w:noWrap/>
            <w:vAlign w:val="center"/>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952,6</w:t>
            </w:r>
          </w:p>
        </w:tc>
      </w:tr>
    </w:tbl>
    <w:p w:rsidR="003F5D83" w:rsidRPr="00B6503E" w:rsidRDefault="003F5D83" w:rsidP="003F5D83">
      <w:pPr>
        <w:spacing w:after="0" w:line="240" w:lineRule="auto"/>
        <w:ind w:right="403"/>
        <w:jc w:val="both"/>
        <w:rPr>
          <w:rFonts w:ascii="Times New Roman" w:hAnsi="Times New Roman" w:cs="Times New Roman"/>
          <w:i/>
          <w:iCs/>
          <w:kern w:val="2"/>
          <w:sz w:val="16"/>
          <w:szCs w:val="16"/>
          <w14:ligatures w14:val="standardContextual"/>
        </w:rPr>
      </w:pPr>
      <w:proofErr w:type="spellStart"/>
      <w:r w:rsidRPr="00B6503E">
        <w:rPr>
          <w:rFonts w:ascii="Times New Roman" w:hAnsi="Times New Roman" w:cs="Times New Roman"/>
          <w:i/>
          <w:iCs/>
          <w:kern w:val="2"/>
          <w:sz w:val="16"/>
          <w:szCs w:val="16"/>
          <w14:ligatures w14:val="standardContextual"/>
        </w:rPr>
        <w:t>Источник</w:t>
      </w:r>
      <w:proofErr w:type="spellEnd"/>
      <w:r w:rsidRPr="00B6503E">
        <w:rPr>
          <w:rFonts w:ascii="Times New Roman" w:hAnsi="Times New Roman" w:cs="Times New Roman"/>
          <w:i/>
          <w:iCs/>
          <w:kern w:val="2"/>
          <w:sz w:val="16"/>
          <w:szCs w:val="16"/>
          <w14:ligatures w14:val="standardContextual"/>
        </w:rPr>
        <w:t xml:space="preserve">:  Banca de date </w:t>
      </w:r>
      <w:proofErr w:type="spellStart"/>
      <w:r w:rsidRPr="00B6503E">
        <w:rPr>
          <w:rFonts w:ascii="Times New Roman" w:hAnsi="Times New Roman" w:cs="Times New Roman"/>
          <w:i/>
          <w:iCs/>
          <w:kern w:val="2"/>
          <w:sz w:val="16"/>
          <w:szCs w:val="16"/>
          <w14:ligatures w14:val="standardContextual"/>
        </w:rPr>
        <w:t>statistică</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StatBank</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Indicii</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investițiilor</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în</w:t>
      </w:r>
      <w:proofErr w:type="spellEnd"/>
      <w:r w:rsidRPr="00B6503E">
        <w:rPr>
          <w:rFonts w:ascii="Times New Roman" w:hAnsi="Times New Roman" w:cs="Times New Roman"/>
          <w:i/>
          <w:iCs/>
          <w:kern w:val="2"/>
          <w:sz w:val="16"/>
          <w:szCs w:val="16"/>
          <w14:ligatures w14:val="standardContextual"/>
        </w:rPr>
        <w:t xml:space="preserve"> active </w:t>
      </w:r>
      <w:proofErr w:type="spellStart"/>
      <w:r w:rsidRPr="00B6503E">
        <w:rPr>
          <w:rFonts w:ascii="Times New Roman" w:hAnsi="Times New Roman" w:cs="Times New Roman"/>
          <w:i/>
          <w:iCs/>
          <w:kern w:val="2"/>
          <w:sz w:val="16"/>
          <w:szCs w:val="16"/>
          <w14:ligatures w14:val="standardContextual"/>
        </w:rPr>
        <w:t>imobilizate</w:t>
      </w:r>
      <w:proofErr w:type="spellEnd"/>
      <w:r w:rsidRPr="00B6503E">
        <w:rPr>
          <w:rFonts w:ascii="Times New Roman" w:hAnsi="Times New Roman" w:cs="Times New Roman"/>
          <w:i/>
          <w:iCs/>
          <w:kern w:val="2"/>
          <w:sz w:val="16"/>
          <w:szCs w:val="16"/>
          <w14:ligatures w14:val="standardContextual"/>
        </w:rPr>
        <w:t xml:space="preserve"> pe </w:t>
      </w:r>
      <w:proofErr w:type="spellStart"/>
      <w:r w:rsidRPr="00B6503E">
        <w:rPr>
          <w:rFonts w:ascii="Times New Roman" w:hAnsi="Times New Roman" w:cs="Times New Roman"/>
          <w:i/>
          <w:iCs/>
          <w:kern w:val="2"/>
          <w:sz w:val="16"/>
          <w:szCs w:val="16"/>
          <w14:ligatures w14:val="standardContextual"/>
        </w:rPr>
        <w:t>regiuni</w:t>
      </w:r>
      <w:proofErr w:type="spellEnd"/>
      <w:r w:rsidRPr="00B6503E">
        <w:rPr>
          <w:rFonts w:ascii="Times New Roman" w:hAnsi="Times New Roman" w:cs="Times New Roman"/>
          <w:i/>
          <w:iCs/>
          <w:kern w:val="2"/>
          <w:sz w:val="16"/>
          <w:szCs w:val="16"/>
          <w14:ligatures w14:val="standardContextual"/>
        </w:rPr>
        <w:t xml:space="preserve"> de </w:t>
      </w:r>
      <w:proofErr w:type="spellStart"/>
      <w:r w:rsidRPr="00B6503E">
        <w:rPr>
          <w:rFonts w:ascii="Times New Roman" w:hAnsi="Times New Roman" w:cs="Times New Roman"/>
          <w:i/>
          <w:iCs/>
          <w:kern w:val="2"/>
          <w:sz w:val="16"/>
          <w:szCs w:val="16"/>
          <w14:ligatures w14:val="standardContextual"/>
        </w:rPr>
        <w:t>dezvoltare</w:t>
      </w:r>
      <w:proofErr w:type="spellEnd"/>
      <w:r w:rsidRPr="00B6503E">
        <w:rPr>
          <w:rFonts w:ascii="Times New Roman" w:hAnsi="Times New Roman" w:cs="Times New Roman"/>
          <w:i/>
          <w:iCs/>
          <w:kern w:val="2"/>
          <w:sz w:val="16"/>
          <w:szCs w:val="16"/>
          <w14:ligatures w14:val="standardContextual"/>
        </w:rPr>
        <w:t>, 2020–2024 [</w:t>
      </w:r>
      <w:proofErr w:type="spellStart"/>
      <w:r w:rsidRPr="00B6503E">
        <w:rPr>
          <w:rFonts w:ascii="Times New Roman" w:hAnsi="Times New Roman" w:cs="Times New Roman"/>
          <w:i/>
          <w:iCs/>
          <w:kern w:val="2"/>
          <w:sz w:val="16"/>
          <w:szCs w:val="16"/>
          <w14:ligatures w14:val="standardContextual"/>
        </w:rPr>
        <w:t>resursă</w:t>
      </w:r>
      <w:proofErr w:type="spellEnd"/>
      <w:r w:rsidRPr="00B6503E">
        <w:rPr>
          <w:rFonts w:ascii="Times New Roman" w:hAnsi="Times New Roman" w:cs="Times New Roman"/>
          <w:i/>
          <w:iCs/>
          <w:kern w:val="2"/>
          <w:sz w:val="16"/>
          <w:szCs w:val="16"/>
          <w14:ligatures w14:val="standardContextual"/>
        </w:rPr>
        <w:t xml:space="preserve"> </w:t>
      </w:r>
      <w:proofErr w:type="spellStart"/>
      <w:r w:rsidRPr="00B6503E">
        <w:rPr>
          <w:rFonts w:ascii="Times New Roman" w:hAnsi="Times New Roman" w:cs="Times New Roman"/>
          <w:i/>
          <w:iCs/>
          <w:kern w:val="2"/>
          <w:sz w:val="16"/>
          <w:szCs w:val="16"/>
          <w14:ligatures w14:val="standardContextual"/>
        </w:rPr>
        <w:t>electronică</w:t>
      </w:r>
      <w:proofErr w:type="spellEnd"/>
      <w:r w:rsidRPr="00B6503E">
        <w:rPr>
          <w:rFonts w:ascii="Times New Roman" w:hAnsi="Times New Roman" w:cs="Times New Roman"/>
          <w:i/>
          <w:iCs/>
          <w:kern w:val="2"/>
          <w:sz w:val="16"/>
          <w:szCs w:val="16"/>
          <w14:ligatures w14:val="standardContextual"/>
        </w:rPr>
        <w:t xml:space="preserve">]. – </w:t>
      </w:r>
      <w:proofErr w:type="spellStart"/>
      <w:r w:rsidRPr="00B6503E">
        <w:rPr>
          <w:rFonts w:ascii="Times New Roman" w:hAnsi="Times New Roman" w:cs="Times New Roman"/>
          <w:i/>
          <w:iCs/>
          <w:kern w:val="2"/>
          <w:sz w:val="16"/>
          <w:szCs w:val="16"/>
          <w14:ligatures w14:val="standardContextual"/>
        </w:rPr>
        <w:t>Disponibil</w:t>
      </w:r>
      <w:proofErr w:type="spellEnd"/>
      <w:r w:rsidRPr="00B6503E">
        <w:rPr>
          <w:rFonts w:ascii="Times New Roman" w:hAnsi="Times New Roman" w:cs="Times New Roman"/>
          <w:i/>
          <w:iCs/>
          <w:kern w:val="2"/>
          <w:sz w:val="16"/>
          <w:szCs w:val="16"/>
          <w14:ligatures w14:val="standardContextual"/>
        </w:rPr>
        <w:t>:</w:t>
      </w:r>
    </w:p>
    <w:p w:rsidR="003F5D83" w:rsidRPr="00F03094" w:rsidRDefault="00835535" w:rsidP="003F5D83">
      <w:pPr>
        <w:spacing w:after="0" w:line="240" w:lineRule="auto"/>
        <w:ind w:right="403"/>
        <w:jc w:val="both"/>
        <w:rPr>
          <w:rFonts w:ascii="Times New Roman" w:hAnsi="Times New Roman" w:cs="Times New Roman"/>
          <w:i/>
          <w:iCs/>
          <w:kern w:val="2"/>
          <w:sz w:val="16"/>
          <w:szCs w:val="16"/>
          <w14:ligatures w14:val="standardContextual"/>
        </w:rPr>
      </w:pPr>
      <w:hyperlink r:id="rId32" w:tgtFrame="_new" w:history="1">
        <w:r w:rsidR="003F5D83" w:rsidRPr="00B6503E">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https://statbank.statistica.md/PxWeb/pxweb/ro/60%20Statistica%20regionala/60%20Statistica%20regionala__17%20ICF/IAI010200reg.px/</w:t>
        </w:r>
      </w:hyperlink>
      <w:r w:rsidR="003F5D83" w:rsidRPr="00B6503E">
        <w:rPr>
          <w:rFonts w:ascii="Times New Roman" w:hAnsi="Times New Roman" w:cs="Times New Roman"/>
          <w:i/>
          <w:iCs/>
          <w:kern w:val="2"/>
          <w:sz w:val="16"/>
          <w:szCs w:val="16"/>
          <w14:ligatures w14:val="standardContextual"/>
        </w:rPr>
        <w:t xml:space="preserve"> </w:t>
      </w:r>
    </w:p>
    <w:p w:rsidR="00AB68D4" w:rsidRPr="00F70993" w:rsidRDefault="00AB68D4" w:rsidP="003F5D83">
      <w:pPr>
        <w:spacing w:after="0" w:line="240" w:lineRule="auto"/>
        <w:ind w:firstLine="709"/>
        <w:jc w:val="both"/>
        <w:rPr>
          <w:rFonts w:ascii="Times New Roman" w:hAnsi="Times New Roman" w:cs="Times New Roman"/>
          <w:kern w:val="2"/>
          <w:sz w:val="24"/>
          <w:szCs w:val="24"/>
          <w14:ligatures w14:val="standardContextual"/>
        </w:rPr>
      </w:pPr>
    </w:p>
    <w:p w:rsidR="003F5D83" w:rsidRPr="00FF350B"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350B">
        <w:rPr>
          <w:rFonts w:ascii="Times New Roman" w:hAnsi="Times New Roman" w:cs="Times New Roman"/>
          <w:kern w:val="2"/>
          <w:sz w:val="24"/>
          <w:szCs w:val="24"/>
          <w:lang w:val="ru-RU"/>
          <w14:ligatures w14:val="standardContextual"/>
        </w:rPr>
        <w:t>В АТО Гагаузия динамика инвестиций в 2020–2024 гг. носит нестабильный характер. Объём инвестиций сократился с 567,0 млн леев в 2020 г., после чего в 2021–2022 гг. наблюдалось восстановление до 1 054,3 млн леев. Однако в последующие годы вновь фиксируется снижение — до 952,6 млн леев в 2024 г. В целом за анализируемый период инвестиции увеличились на 385,6 млн леев или примерно на 68,0%, что сопоставимо с общенациональной динамикой, но сопровождаются выраженной волатильностью, что указывает на нестабильность инвестиционной активности в регионе.</w:t>
      </w:r>
    </w:p>
    <w:p w:rsidR="003F5D83" w:rsidRPr="00FF350B"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350B">
        <w:rPr>
          <w:rFonts w:ascii="Times New Roman" w:hAnsi="Times New Roman" w:cs="Times New Roman"/>
          <w:kern w:val="2"/>
          <w:sz w:val="24"/>
          <w:szCs w:val="24"/>
          <w:lang w:val="ru-RU"/>
          <w14:ligatures w14:val="standardContextual"/>
        </w:rPr>
        <w:t>В сравнении с другими регионами АТО Гагаузия значительно уступает по объёму инвестиций. В 2024 году её показатель в 6,1 раза ниже, чем в регионе Центр (5 797,1 млн леев), в 5,0 раз — чем в регионе Север (5 170,9 млн леев), и в 3,1 раза — чем в регионе Юг (2 965,1 млн леев). Разрыв с муниципием Кишинёв остаётся наиболее значительным — более чем в 28 раз, что отражает высокую концентрацию инвестиционных ресурсов в столичном регионе.</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350B">
        <w:rPr>
          <w:rFonts w:ascii="Times New Roman" w:hAnsi="Times New Roman" w:cs="Times New Roman"/>
          <w:kern w:val="2"/>
          <w:sz w:val="24"/>
          <w:szCs w:val="24"/>
          <w:lang w:val="ru-RU"/>
          <w14:ligatures w14:val="standardContextual"/>
        </w:rPr>
        <w:t>Таким образом, несмотря на общий рост инвестиций в АТО Гагаузия, их объём остаётся недостаточным, а динамика — нестабильной, что ограничивает возможности устойчивого экономического развития региона и указывает на необходимость активизации инвестиционной политики.</w:t>
      </w:r>
    </w:p>
    <w:p w:rsidR="00AB68D4" w:rsidRDefault="003F5D83" w:rsidP="00346506">
      <w:pPr>
        <w:spacing w:after="0" w:line="240" w:lineRule="auto"/>
        <w:ind w:firstLine="709"/>
        <w:jc w:val="both"/>
        <w:rPr>
          <w:rFonts w:ascii="Times New Roman" w:hAnsi="Times New Roman" w:cs="Times New Roman"/>
          <w:kern w:val="2"/>
          <w:sz w:val="24"/>
          <w:szCs w:val="24"/>
          <w:lang w:val="ru-RU"/>
          <w14:ligatures w14:val="standardContextual"/>
        </w:rPr>
      </w:pPr>
      <w:r w:rsidRPr="000671C8">
        <w:rPr>
          <w:rFonts w:ascii="Times New Roman" w:hAnsi="Times New Roman" w:cs="Times New Roman"/>
          <w:kern w:val="2"/>
          <w:sz w:val="24"/>
          <w:szCs w:val="24"/>
          <w:lang w:val="ru-RU"/>
          <w14:ligatures w14:val="standardContextual"/>
        </w:rPr>
        <w:t>Вместе с тем, анализ абсолютных объёмов инвестиций не в полной мере отражает реальный уровень инвестиционной активности регионов, поскольку не учитывает различия в численности населения. Более точное представление о сравнительном уровне инвестиционного развития позволяет получить показатель инвестиций на душу населения, характеризующий интенсивность вложений и степень обеспеченности территории инвестиционными ресурсами (таб</w:t>
      </w:r>
      <w:r>
        <w:rPr>
          <w:rFonts w:ascii="Times New Roman" w:hAnsi="Times New Roman" w:cs="Times New Roman"/>
          <w:kern w:val="2"/>
          <w:sz w:val="24"/>
          <w:szCs w:val="24"/>
          <w:lang w:val="ru-RU"/>
          <w14:ligatures w14:val="standardContextual"/>
        </w:rPr>
        <w:t>лица 2.16</w:t>
      </w:r>
      <w:r w:rsidRPr="000671C8">
        <w:rPr>
          <w:rFonts w:ascii="Times New Roman" w:hAnsi="Times New Roman" w:cs="Times New Roman"/>
          <w:kern w:val="2"/>
          <w:sz w:val="24"/>
          <w:szCs w:val="24"/>
          <w:lang w:val="ru-RU"/>
          <w14:ligatures w14:val="standardContextual"/>
        </w:rPr>
        <w:t>).</w:t>
      </w:r>
    </w:p>
    <w:p w:rsidR="003F5D83" w:rsidRDefault="003F5D83" w:rsidP="00AB68D4">
      <w:pPr>
        <w:spacing w:after="0" w:line="240" w:lineRule="auto"/>
        <w:ind w:firstLine="708"/>
        <w:rPr>
          <w:rFonts w:ascii="Times New Roman" w:hAnsi="Times New Roman" w:cs="Times New Roman"/>
          <w:b/>
          <w:bCs/>
          <w:kern w:val="2"/>
          <w:sz w:val="24"/>
          <w:szCs w:val="24"/>
          <w:lang w:val="ru-RU"/>
          <w14:ligatures w14:val="standardContextual"/>
        </w:rPr>
      </w:pPr>
      <w:r w:rsidRPr="000671C8">
        <w:rPr>
          <w:rFonts w:ascii="Times New Roman" w:hAnsi="Times New Roman" w:cs="Times New Roman"/>
          <w:b/>
          <w:bCs/>
          <w:kern w:val="2"/>
          <w:sz w:val="24"/>
          <w:szCs w:val="24"/>
          <w:lang w:val="ru-RU"/>
          <w14:ligatures w14:val="standardContextual"/>
        </w:rPr>
        <w:t xml:space="preserve">Таблица </w:t>
      </w:r>
      <w:r>
        <w:rPr>
          <w:rFonts w:ascii="Times New Roman" w:hAnsi="Times New Roman" w:cs="Times New Roman"/>
          <w:b/>
          <w:bCs/>
          <w:kern w:val="2"/>
          <w:sz w:val="24"/>
          <w:szCs w:val="24"/>
          <w:lang w:val="ru-RU"/>
          <w14:ligatures w14:val="standardContextual"/>
        </w:rPr>
        <w:t>2.16.</w:t>
      </w:r>
      <w:r w:rsidRPr="000671C8">
        <w:rPr>
          <w:rFonts w:ascii="Times New Roman" w:hAnsi="Times New Roman" w:cs="Times New Roman"/>
          <w:b/>
          <w:bCs/>
          <w:kern w:val="2"/>
          <w:sz w:val="24"/>
          <w:szCs w:val="24"/>
          <w:lang w:val="ru-RU"/>
          <w14:ligatures w14:val="standardContextual"/>
        </w:rPr>
        <w:t xml:space="preserve"> Объём инвестиций на душу населения по регионам Республики Молдова, леев/чел., 20</w:t>
      </w:r>
      <w:r>
        <w:rPr>
          <w:rFonts w:ascii="Times New Roman" w:hAnsi="Times New Roman" w:cs="Times New Roman"/>
          <w:b/>
          <w:bCs/>
          <w:kern w:val="2"/>
          <w:sz w:val="24"/>
          <w:szCs w:val="24"/>
          <w:lang w:val="ru-RU"/>
          <w14:ligatures w14:val="standardContextual"/>
        </w:rPr>
        <w:t>20</w:t>
      </w:r>
      <w:r w:rsidRPr="000671C8">
        <w:rPr>
          <w:rFonts w:ascii="Times New Roman" w:hAnsi="Times New Roman" w:cs="Times New Roman"/>
          <w:b/>
          <w:bCs/>
          <w:kern w:val="2"/>
          <w:sz w:val="24"/>
          <w:szCs w:val="24"/>
          <w:lang w:val="ru-RU"/>
          <w14:ligatures w14:val="standardContextual"/>
        </w:rPr>
        <w:t>–2024 гг.</w:t>
      </w:r>
    </w:p>
    <w:p w:rsidR="00885A80" w:rsidRPr="000671C8" w:rsidRDefault="00885A80"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263"/>
        <w:gridCol w:w="1264"/>
        <w:gridCol w:w="1264"/>
        <w:gridCol w:w="1264"/>
        <w:gridCol w:w="1092"/>
      </w:tblGrid>
      <w:tr w:rsidR="003F5D83" w:rsidRPr="000671C8" w:rsidTr="00C77DDC">
        <w:trPr>
          <w:trHeight w:val="296"/>
          <w:jc w:val="center"/>
        </w:trPr>
        <w:tc>
          <w:tcPr>
            <w:tcW w:w="0" w:type="auto"/>
            <w:hideMark/>
          </w:tcPr>
          <w:p w:rsidR="003F5D83" w:rsidRPr="000671C8" w:rsidRDefault="003F5D83" w:rsidP="003F5D83">
            <w:pPr>
              <w:rPr>
                <w:rFonts w:ascii="Times New Roman" w:hAnsi="Times New Roman" w:cs="Times New Roman"/>
                <w:b/>
                <w:bCs/>
                <w:kern w:val="2"/>
                <w:sz w:val="24"/>
                <w:szCs w:val="24"/>
                <w14:ligatures w14:val="standardContextual"/>
              </w:rPr>
            </w:pPr>
            <w:proofErr w:type="spellStart"/>
            <w:r w:rsidRPr="000671C8">
              <w:rPr>
                <w:rFonts w:ascii="Times New Roman" w:hAnsi="Times New Roman" w:cs="Times New Roman"/>
                <w:b/>
                <w:bCs/>
                <w:kern w:val="2"/>
                <w:sz w:val="24"/>
                <w:szCs w:val="24"/>
                <w14:ligatures w14:val="standardContextual"/>
              </w:rPr>
              <w:t>Регион</w:t>
            </w:r>
            <w:proofErr w:type="spellEnd"/>
          </w:p>
        </w:tc>
        <w:tc>
          <w:tcPr>
            <w:tcW w:w="0" w:type="auto"/>
            <w:hideMark/>
          </w:tcPr>
          <w:p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2020</w:t>
            </w:r>
          </w:p>
        </w:tc>
        <w:tc>
          <w:tcPr>
            <w:tcW w:w="0" w:type="auto"/>
            <w:hideMark/>
          </w:tcPr>
          <w:p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2021</w:t>
            </w:r>
          </w:p>
        </w:tc>
        <w:tc>
          <w:tcPr>
            <w:tcW w:w="0" w:type="auto"/>
            <w:hideMark/>
          </w:tcPr>
          <w:p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2022</w:t>
            </w:r>
          </w:p>
        </w:tc>
        <w:tc>
          <w:tcPr>
            <w:tcW w:w="0" w:type="auto"/>
            <w:hideMark/>
          </w:tcPr>
          <w:p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2023</w:t>
            </w:r>
          </w:p>
        </w:tc>
        <w:tc>
          <w:tcPr>
            <w:tcW w:w="1092" w:type="dxa"/>
            <w:hideMark/>
          </w:tcPr>
          <w:p w:rsidR="003F5D83" w:rsidRPr="000671C8" w:rsidRDefault="003F5D83" w:rsidP="00C77DDC">
            <w:pPr>
              <w:rPr>
                <w:rFonts w:ascii="Times New Roman" w:hAnsi="Times New Roman" w:cs="Times New Roman"/>
                <w:b/>
                <w:bCs/>
                <w:kern w:val="2"/>
                <w:sz w:val="24"/>
                <w:szCs w:val="24"/>
                <w14:ligatures w14:val="standardContextual"/>
              </w:rPr>
            </w:pPr>
            <w:r w:rsidRPr="000671C8">
              <w:rPr>
                <w:rFonts w:ascii="Times New Roman" w:hAnsi="Times New Roman" w:cs="Times New Roman"/>
                <w:b/>
                <w:bCs/>
                <w:kern w:val="2"/>
                <w:sz w:val="24"/>
                <w:szCs w:val="24"/>
                <w14:ligatures w14:val="standardContextual"/>
              </w:rPr>
              <w:t>2024</w:t>
            </w:r>
          </w:p>
        </w:tc>
      </w:tr>
      <w:tr w:rsidR="003F5D83" w:rsidRPr="000671C8" w:rsidTr="00C77DDC">
        <w:trPr>
          <w:trHeight w:val="296"/>
          <w:jc w:val="center"/>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lang w:val="ru-RU"/>
                <w14:ligatures w14:val="standardContextual"/>
              </w:rPr>
              <w:t>В среднем по стране</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11 418</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13 642</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14 673</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15 610</w:t>
            </w:r>
          </w:p>
        </w:tc>
        <w:tc>
          <w:tcPr>
            <w:tcW w:w="1092" w:type="dxa"/>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17 374</w:t>
            </w:r>
          </w:p>
        </w:tc>
      </w:tr>
      <w:tr w:rsidR="003F5D83" w:rsidRPr="000671C8" w:rsidTr="00C77DDC">
        <w:trPr>
          <w:trHeight w:val="284"/>
          <w:jc w:val="center"/>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Кишинев</w:t>
            </w:r>
            <w:proofErr w:type="spellEnd"/>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30 820</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34 957</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35 419</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36 985</w:t>
            </w:r>
          </w:p>
        </w:tc>
        <w:tc>
          <w:tcPr>
            <w:tcW w:w="1092" w:type="dxa"/>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40 901</w:t>
            </w:r>
          </w:p>
        </w:tc>
      </w:tr>
      <w:tr w:rsidR="003F5D83" w:rsidRPr="000671C8" w:rsidTr="00C77DDC">
        <w:trPr>
          <w:trHeight w:val="296"/>
          <w:jc w:val="center"/>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lastRenderedPageBreak/>
              <w:t xml:space="preserve">РР </w:t>
            </w:r>
            <w:proofErr w:type="spellStart"/>
            <w:r w:rsidRPr="000671C8">
              <w:rPr>
                <w:rFonts w:ascii="Times New Roman" w:hAnsi="Times New Roman" w:cs="Times New Roman"/>
                <w:kern w:val="2"/>
                <w:sz w:val="24"/>
                <w:szCs w:val="24"/>
                <w14:ligatures w14:val="standardContextual"/>
              </w:rPr>
              <w:t>Север</w:t>
            </w:r>
            <w:proofErr w:type="spellEnd"/>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4 574</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6 243</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7 240</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7 444</w:t>
            </w:r>
          </w:p>
        </w:tc>
        <w:tc>
          <w:tcPr>
            <w:tcW w:w="1092" w:type="dxa"/>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8 020</w:t>
            </w:r>
          </w:p>
        </w:tc>
      </w:tr>
      <w:tr w:rsidR="003F5D83" w:rsidRPr="000671C8" w:rsidTr="00C77DDC">
        <w:trPr>
          <w:trHeight w:val="296"/>
          <w:jc w:val="center"/>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Центр</w:t>
            </w:r>
            <w:proofErr w:type="spellEnd"/>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5 423</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6 287</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6 733</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7 443</w:t>
            </w:r>
          </w:p>
        </w:tc>
        <w:tc>
          <w:tcPr>
            <w:tcW w:w="1092" w:type="dxa"/>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8 598</w:t>
            </w:r>
          </w:p>
        </w:tc>
      </w:tr>
      <w:tr w:rsidR="003F5D83" w:rsidRPr="000671C8" w:rsidTr="00C77DDC">
        <w:trPr>
          <w:trHeight w:val="296"/>
          <w:jc w:val="center"/>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w:t>
            </w:r>
            <w:proofErr w:type="spellStart"/>
            <w:r w:rsidRPr="000671C8">
              <w:rPr>
                <w:rFonts w:ascii="Times New Roman" w:hAnsi="Times New Roman" w:cs="Times New Roman"/>
                <w:kern w:val="2"/>
                <w:sz w:val="24"/>
                <w:szCs w:val="24"/>
                <w14:ligatures w14:val="standardContextual"/>
              </w:rPr>
              <w:t>Юг</w:t>
            </w:r>
            <w:proofErr w:type="spellEnd"/>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4 348</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5 499</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7 409</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8 202</w:t>
            </w:r>
          </w:p>
        </w:tc>
        <w:tc>
          <w:tcPr>
            <w:tcW w:w="1092" w:type="dxa"/>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9 158</w:t>
            </w:r>
          </w:p>
        </w:tc>
      </w:tr>
      <w:tr w:rsidR="003F5D83" w:rsidRPr="000671C8" w:rsidTr="00C77DDC">
        <w:trPr>
          <w:trHeight w:val="296"/>
          <w:jc w:val="center"/>
        </w:trPr>
        <w:tc>
          <w:tcPr>
            <w:tcW w:w="0" w:type="auto"/>
            <w:vAlign w:val="center"/>
            <w:hideMark/>
          </w:tcPr>
          <w:p w:rsidR="003F5D83" w:rsidRPr="000671C8" w:rsidRDefault="003F5D83" w:rsidP="003F5D83">
            <w:pPr>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 xml:space="preserve">РР АТО </w:t>
            </w:r>
            <w:proofErr w:type="spellStart"/>
            <w:r w:rsidRPr="000671C8">
              <w:rPr>
                <w:rFonts w:ascii="Times New Roman" w:hAnsi="Times New Roman" w:cs="Times New Roman"/>
                <w:kern w:val="2"/>
                <w:sz w:val="24"/>
                <w:szCs w:val="24"/>
                <w14:ligatures w14:val="standardContextual"/>
              </w:rPr>
              <w:t>Гагаузия</w:t>
            </w:r>
            <w:proofErr w:type="spellEnd"/>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4 631</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7 721</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8 902</w:t>
            </w:r>
          </w:p>
        </w:tc>
        <w:tc>
          <w:tcPr>
            <w:tcW w:w="0" w:type="auto"/>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8 284</w:t>
            </w:r>
          </w:p>
        </w:tc>
        <w:tc>
          <w:tcPr>
            <w:tcW w:w="1092" w:type="dxa"/>
            <w:hideMark/>
          </w:tcPr>
          <w:p w:rsidR="003F5D83" w:rsidRPr="000671C8" w:rsidRDefault="003F5D83" w:rsidP="003F5D83">
            <w:pPr>
              <w:jc w:val="right"/>
              <w:rPr>
                <w:rFonts w:ascii="Times New Roman" w:hAnsi="Times New Roman" w:cs="Times New Roman"/>
                <w:kern w:val="2"/>
                <w:sz w:val="24"/>
                <w:szCs w:val="24"/>
                <w14:ligatures w14:val="standardContextual"/>
              </w:rPr>
            </w:pPr>
            <w:r w:rsidRPr="000671C8">
              <w:rPr>
                <w:rFonts w:ascii="Times New Roman" w:hAnsi="Times New Roman" w:cs="Times New Roman"/>
                <w:kern w:val="2"/>
                <w:sz w:val="24"/>
                <w:szCs w:val="24"/>
                <w14:ligatures w14:val="standardContextual"/>
              </w:rPr>
              <w:t>8 269</w:t>
            </w:r>
          </w:p>
        </w:tc>
      </w:tr>
    </w:tbl>
    <w:p w:rsidR="003F5D83" w:rsidRPr="00B6503E" w:rsidRDefault="003F5D83" w:rsidP="003F5D83">
      <w:pPr>
        <w:spacing w:after="0" w:line="240" w:lineRule="auto"/>
        <w:rPr>
          <w:rFonts w:ascii="Times New Roman" w:hAnsi="Times New Roman" w:cs="Times New Roman"/>
          <w:i/>
          <w:iCs/>
          <w:kern w:val="2"/>
          <w:sz w:val="16"/>
          <w:szCs w:val="16"/>
          <w:highlight w:val="yellow"/>
          <w:lang w:val="ru-RU"/>
          <w14:ligatures w14:val="standardContextual"/>
        </w:rPr>
      </w:pPr>
      <w:proofErr w:type="spellStart"/>
      <w:r>
        <w:rPr>
          <w:rFonts w:ascii="Times New Roman" w:hAnsi="Times New Roman" w:cs="Times New Roman"/>
          <w:i/>
          <w:iCs/>
          <w:kern w:val="2"/>
          <w:sz w:val="16"/>
          <w:szCs w:val="16"/>
          <w:lang w:val="ru-RU"/>
          <w14:ligatures w14:val="standardContextual"/>
        </w:rPr>
        <w:t>Источник:</w:t>
      </w:r>
      <w:r w:rsidRPr="00B6503E">
        <w:rPr>
          <w:rFonts w:ascii="Times New Roman" w:hAnsi="Times New Roman" w:cs="Times New Roman"/>
          <w:i/>
          <w:iCs/>
          <w:kern w:val="2"/>
          <w:sz w:val="16"/>
          <w:szCs w:val="16"/>
          <w:lang w:val="ru-RU"/>
          <w14:ligatures w14:val="standardContextual"/>
        </w:rPr>
        <w:t>Рассчитано</w:t>
      </w:r>
      <w:proofErr w:type="spellEnd"/>
      <w:r w:rsidRPr="00B6503E">
        <w:rPr>
          <w:rFonts w:ascii="Times New Roman" w:hAnsi="Times New Roman" w:cs="Times New Roman"/>
          <w:i/>
          <w:iCs/>
          <w:kern w:val="2"/>
          <w:sz w:val="16"/>
          <w:szCs w:val="16"/>
          <w:lang w:val="ru-RU"/>
          <w14:ligatures w14:val="standardContextual"/>
        </w:rPr>
        <w:t xml:space="preserve"> АРР на базе таблицы 2.1. и таблицы 2.15.</w:t>
      </w:r>
    </w:p>
    <w:p w:rsidR="003F5D83" w:rsidRPr="000671C8" w:rsidRDefault="003F5D83" w:rsidP="003F5D83">
      <w:pPr>
        <w:spacing w:after="0" w:line="240" w:lineRule="auto"/>
        <w:ind w:left="426"/>
        <w:rPr>
          <w:rFonts w:ascii="Times New Roman" w:hAnsi="Times New Roman" w:cs="Times New Roman"/>
          <w:i/>
          <w:iCs/>
          <w:kern w:val="2"/>
          <w:sz w:val="20"/>
          <w:szCs w:val="20"/>
          <w:lang w:val="ru-RU"/>
          <w14:ligatures w14:val="standardContextual"/>
        </w:rPr>
      </w:pPr>
    </w:p>
    <w:p w:rsidR="003F5D83" w:rsidRPr="006F226B" w:rsidRDefault="003F5D83" w:rsidP="003F5D83">
      <w:pPr>
        <w:spacing w:after="0" w:line="240" w:lineRule="auto"/>
        <w:ind w:firstLine="709"/>
        <w:jc w:val="both"/>
        <w:rPr>
          <w:rFonts w:ascii="Times New Roman" w:eastAsia="Times New Roman" w:hAnsi="Times New Roman" w:cs="Times New Roman"/>
          <w:sz w:val="24"/>
          <w:szCs w:val="24"/>
          <w:lang w:val="ru-RU"/>
        </w:rPr>
      </w:pPr>
      <w:r w:rsidRPr="006F226B">
        <w:rPr>
          <w:rFonts w:ascii="Times New Roman" w:eastAsia="Times New Roman" w:hAnsi="Times New Roman" w:cs="Times New Roman"/>
          <w:sz w:val="24"/>
          <w:szCs w:val="24"/>
          <w:lang w:val="ru-RU"/>
        </w:rPr>
        <w:t>Анализ инвестиций на душу населения показывает, что в 2020–2024 гг. в целом по стране наблюдается устойчивая положительная динамика: показатель увеличился с 11 418 леев/чел. в 2020 г. до 17 374 леев/чел. в 2024 г., или на 5 956 леев (около 52,2%). Это свидетельствует об усилении инвестиционной активности и росте обеспеченности населения инвестиционными ресурсами.</w:t>
      </w:r>
    </w:p>
    <w:p w:rsidR="003F5D83" w:rsidRPr="006F226B" w:rsidRDefault="003F5D83" w:rsidP="003F5D83">
      <w:pPr>
        <w:spacing w:after="0" w:line="240" w:lineRule="auto"/>
        <w:ind w:firstLine="709"/>
        <w:jc w:val="both"/>
        <w:rPr>
          <w:rFonts w:ascii="Times New Roman" w:eastAsia="Times New Roman" w:hAnsi="Times New Roman" w:cs="Times New Roman"/>
          <w:sz w:val="24"/>
          <w:szCs w:val="24"/>
          <w:lang w:val="ru-RU"/>
        </w:rPr>
      </w:pPr>
      <w:r w:rsidRPr="006F226B">
        <w:rPr>
          <w:rFonts w:ascii="Times New Roman" w:eastAsia="Times New Roman" w:hAnsi="Times New Roman" w:cs="Times New Roman"/>
          <w:sz w:val="24"/>
          <w:szCs w:val="24"/>
          <w:lang w:val="ru-RU"/>
        </w:rPr>
        <w:t>В АТО Гагаузия динамика носит менее устойчивый характер. После снижения в 2020 г. до 4 631 леев/чел. наблюдался рост до 8 902 леев/чел. в 2022 г., однако в 2023–2024 гг. показатель несколько снизился и стабилизировался на уровне около 8,3 тыс. леев/чел. В целом за период он увеличился на 3 638 леев или примерно на 78,6%, однако рост сопровождается колебаниями, что указывает на нестабильность инвестиционной активности.</w:t>
      </w:r>
    </w:p>
    <w:p w:rsidR="003F5D83" w:rsidRPr="006F226B" w:rsidRDefault="003F5D83" w:rsidP="003F5D83">
      <w:pPr>
        <w:spacing w:after="0" w:line="240" w:lineRule="auto"/>
        <w:ind w:firstLine="709"/>
        <w:jc w:val="both"/>
        <w:rPr>
          <w:rFonts w:ascii="Times New Roman" w:eastAsia="Times New Roman" w:hAnsi="Times New Roman" w:cs="Times New Roman"/>
          <w:sz w:val="24"/>
          <w:szCs w:val="24"/>
          <w:lang w:val="ru-RU"/>
        </w:rPr>
      </w:pPr>
      <w:r w:rsidRPr="006F226B">
        <w:rPr>
          <w:rFonts w:ascii="Times New Roman" w:eastAsia="Times New Roman" w:hAnsi="Times New Roman" w:cs="Times New Roman"/>
          <w:sz w:val="24"/>
          <w:szCs w:val="24"/>
          <w:lang w:val="ru-RU"/>
        </w:rPr>
        <w:t>В сравнении с другими регионами АТО Гагаузия занимает промежуточное положение. В 2024 году её показатель (8 269 леев/чел.) выше, чем в регионе Север (8 020 леев/чел.), однако уступает регионам Центр (8 598 леев/чел.) и Юг (9 158 леев/чел.). Разрыв с муниципием Кишинёв остаётся значительным: уровень инвестиций на душу населения там в 2024 г. выше почти в 5 раз.</w:t>
      </w:r>
    </w:p>
    <w:p w:rsidR="003F5D83" w:rsidRPr="006F226B" w:rsidRDefault="003F5D83" w:rsidP="003F5D83">
      <w:pPr>
        <w:spacing w:after="0" w:line="240" w:lineRule="auto"/>
        <w:ind w:firstLine="709"/>
        <w:jc w:val="both"/>
        <w:rPr>
          <w:rFonts w:ascii="Times New Roman" w:eastAsia="Times New Roman" w:hAnsi="Times New Roman" w:cs="Times New Roman"/>
          <w:sz w:val="24"/>
          <w:szCs w:val="24"/>
          <w:lang w:val="ru-RU"/>
        </w:rPr>
      </w:pPr>
      <w:r w:rsidRPr="006F226B">
        <w:rPr>
          <w:rFonts w:ascii="Times New Roman" w:eastAsia="Times New Roman" w:hAnsi="Times New Roman" w:cs="Times New Roman"/>
          <w:sz w:val="24"/>
          <w:szCs w:val="24"/>
          <w:lang w:val="ru-RU"/>
        </w:rPr>
        <w:t>Таким образом, несмотря на рост показателя, инвестиционная обеспеченность населения в АТО Гагаузия остаётся относительно низкой, а её динамика — менее устойчивой по сравнению с другими регионами, что указывает на сохраняющиеся ограничения инвестиционного развития региона.</w:t>
      </w:r>
    </w:p>
    <w:p w:rsidR="003F5D83" w:rsidRPr="000671C8" w:rsidRDefault="003F5D83" w:rsidP="003F5D83">
      <w:pPr>
        <w:spacing w:after="0" w:line="240" w:lineRule="auto"/>
        <w:ind w:firstLine="709"/>
        <w:jc w:val="both"/>
        <w:rPr>
          <w:rFonts w:ascii="Times New Roman" w:eastAsia="Times New Roman" w:hAnsi="Times New Roman" w:cs="Times New Roman"/>
          <w:sz w:val="24"/>
          <w:szCs w:val="24"/>
          <w:lang w:val="ru-RU"/>
        </w:rPr>
      </w:pPr>
      <w:r w:rsidRPr="000671C8">
        <w:rPr>
          <w:rFonts w:ascii="Times New Roman" w:eastAsia="Times New Roman" w:hAnsi="Times New Roman" w:cs="Times New Roman"/>
          <w:sz w:val="24"/>
          <w:szCs w:val="24"/>
          <w:lang w:val="ru-RU"/>
        </w:rPr>
        <w:t>В 2024 году источниками инвестиций в АТО Гагаузия выступили преимущественно собственные средства экономических агентов, объём которых составил 464 026,1 тыс. леев (60,8%). Участие местного бюджета составило 102 333,3 тыс. леев (13,4%), тогда как банковские кредиты и средства государственного бюджета имели одинаковую долю по 8,1% (61 443,9 и 61 929,0 тыс. леев соответственно).</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0671C8">
        <w:rPr>
          <w:rFonts w:ascii="Times New Roman" w:eastAsia="Times New Roman" w:hAnsi="Times New Roman" w:cs="Times New Roman"/>
          <w:sz w:val="24"/>
          <w:szCs w:val="24"/>
          <w:lang w:val="ru-RU"/>
        </w:rPr>
        <w:t>Иностранные инвестиции заняли наименьшую долю — 31 308,9 тыс. леев (4,1%), а прочие источники составили 5,5% общего объёма. Таким образом, структура финансирования характеризовалась доминированием внутренних ресурсов при ограниченном привлечении внешнего капитала (рис</w:t>
      </w:r>
      <w:r>
        <w:rPr>
          <w:rFonts w:ascii="Times New Roman" w:eastAsia="Times New Roman" w:hAnsi="Times New Roman" w:cs="Times New Roman"/>
          <w:sz w:val="24"/>
          <w:szCs w:val="24"/>
          <w:lang w:val="ru-RU"/>
        </w:rPr>
        <w:t>унок 2.8</w:t>
      </w:r>
      <w:r w:rsidRPr="000671C8">
        <w:rPr>
          <w:rFonts w:ascii="Times New Roman" w:eastAsia="Times New Roman" w:hAnsi="Times New Roman" w:cs="Times New Roman"/>
          <w:sz w:val="24"/>
          <w:szCs w:val="24"/>
          <w:lang w:val="ru-RU"/>
        </w:rPr>
        <w:t>).</w:t>
      </w:r>
    </w:p>
    <w:p w:rsidR="00C77DDC" w:rsidRPr="000671C8" w:rsidRDefault="00C77DDC" w:rsidP="003F5D83">
      <w:pPr>
        <w:spacing w:after="0" w:line="240" w:lineRule="auto"/>
        <w:ind w:firstLine="709"/>
        <w:jc w:val="both"/>
        <w:rPr>
          <w:rFonts w:ascii="Times New Roman" w:eastAsia="Times New Roman" w:hAnsi="Times New Roman" w:cs="Times New Roman"/>
          <w:sz w:val="24"/>
          <w:szCs w:val="24"/>
          <w:lang w:val="ru-RU"/>
        </w:rPr>
      </w:pPr>
    </w:p>
    <w:p w:rsidR="003F5D83" w:rsidRPr="000671C8" w:rsidRDefault="003F5D83" w:rsidP="003F5D83">
      <w:pPr>
        <w:spacing w:after="0" w:line="240" w:lineRule="auto"/>
        <w:jc w:val="both"/>
        <w:rPr>
          <w:rFonts w:ascii="Times New Roman" w:eastAsia="Times New Roman" w:hAnsi="Times New Roman" w:cs="Times New Roman"/>
          <w:sz w:val="24"/>
          <w:szCs w:val="24"/>
          <w:lang w:val="ru-RU"/>
        </w:rPr>
      </w:pPr>
      <w:r w:rsidRPr="000671C8">
        <w:rPr>
          <w:rFonts w:ascii="Times New Roman" w:eastAsia="Times New Roman" w:hAnsi="Times New Roman" w:cs="Times New Roman"/>
          <w:noProof/>
          <w:sz w:val="24"/>
          <w:szCs w:val="24"/>
          <w:lang w:val="ru-RU" w:eastAsia="ru-RU"/>
        </w:rPr>
        <w:lastRenderedPageBreak/>
        <w:drawing>
          <wp:inline distT="0" distB="0" distL="0" distR="0" wp14:anchorId="3DE29390" wp14:editId="3843CF75">
            <wp:extent cx="5857875" cy="2657475"/>
            <wp:effectExtent l="0" t="0" r="9525" b="9525"/>
            <wp:docPr id="44062338" name="Диаграмма 1">
              <a:extLst xmlns:a="http://schemas.openxmlformats.org/drawingml/2006/main">
                <a:ext uri="{FF2B5EF4-FFF2-40B4-BE49-F238E27FC236}">
                  <a16:creationId xmlns:a16="http://schemas.microsoft.com/office/drawing/2014/main" id="{22CB9160-99D0-2166-3312-63B4E5AB7E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F5D83" w:rsidRPr="000671C8" w:rsidRDefault="003F5D83" w:rsidP="003F5D83">
      <w:pPr>
        <w:spacing w:after="0" w:line="240" w:lineRule="auto"/>
        <w:jc w:val="center"/>
        <w:rPr>
          <w:rFonts w:ascii="Times New Roman" w:eastAsia="Times New Roman" w:hAnsi="Times New Roman" w:cs="Times New Roman"/>
          <w:b/>
          <w:bCs/>
          <w:sz w:val="24"/>
          <w:szCs w:val="24"/>
          <w:lang w:val="ru-RU"/>
        </w:rPr>
      </w:pPr>
      <w:r w:rsidRPr="000671C8">
        <w:rPr>
          <w:rFonts w:ascii="Times New Roman" w:eastAsia="Times New Roman" w:hAnsi="Times New Roman" w:cs="Times New Roman"/>
          <w:b/>
          <w:bCs/>
          <w:sz w:val="24"/>
          <w:szCs w:val="24"/>
          <w:lang w:val="ru-RU"/>
        </w:rPr>
        <w:t>Рис</w:t>
      </w:r>
      <w:r>
        <w:rPr>
          <w:rFonts w:ascii="Times New Roman" w:eastAsia="Times New Roman" w:hAnsi="Times New Roman" w:cs="Times New Roman"/>
          <w:b/>
          <w:bCs/>
          <w:sz w:val="24"/>
          <w:szCs w:val="24"/>
          <w:lang w:val="ru-RU"/>
        </w:rPr>
        <w:t xml:space="preserve">унок 2.8. </w:t>
      </w:r>
      <w:r w:rsidRPr="000671C8">
        <w:rPr>
          <w:rFonts w:ascii="Times New Roman" w:eastAsia="Times New Roman" w:hAnsi="Times New Roman" w:cs="Times New Roman"/>
          <w:b/>
          <w:bCs/>
          <w:sz w:val="24"/>
          <w:szCs w:val="24"/>
          <w:lang w:val="ru-RU"/>
        </w:rPr>
        <w:t>Структура инвестиций по источникам финансирования в АТО Гагаузия</w:t>
      </w:r>
    </w:p>
    <w:p w:rsidR="003F5D83" w:rsidRPr="000671C8" w:rsidRDefault="003F5D83" w:rsidP="003F5D83">
      <w:pPr>
        <w:spacing w:after="0" w:line="240" w:lineRule="auto"/>
        <w:jc w:val="center"/>
        <w:rPr>
          <w:rFonts w:ascii="Times New Roman" w:eastAsia="Times New Roman" w:hAnsi="Times New Roman" w:cs="Times New Roman"/>
          <w:b/>
          <w:bCs/>
          <w:sz w:val="24"/>
          <w:szCs w:val="24"/>
          <w:lang w:val="ru-RU"/>
        </w:rPr>
      </w:pPr>
      <w:r w:rsidRPr="000671C8">
        <w:rPr>
          <w:rFonts w:ascii="Times New Roman" w:eastAsia="Times New Roman" w:hAnsi="Times New Roman" w:cs="Times New Roman"/>
          <w:b/>
          <w:bCs/>
          <w:sz w:val="24"/>
          <w:szCs w:val="24"/>
          <w:lang w:val="ru-RU"/>
        </w:rPr>
        <w:t xml:space="preserve"> за 2024 год, %</w:t>
      </w:r>
    </w:p>
    <w:p w:rsidR="003F5D83" w:rsidRPr="00844989" w:rsidRDefault="003F5D83" w:rsidP="003F5D83">
      <w:pPr>
        <w:spacing w:after="0" w:line="240" w:lineRule="auto"/>
        <w:ind w:right="120"/>
        <w:jc w:val="both"/>
        <w:rPr>
          <w:rFonts w:ascii="Times New Roman" w:eastAsia="Times New Roman" w:hAnsi="Times New Roman" w:cs="Times New Roman"/>
          <w:i/>
          <w:iCs/>
          <w:color w:val="0563C1" w:themeColor="hyperlink"/>
          <w:sz w:val="16"/>
          <w:szCs w:val="16"/>
          <w:u w:val="single"/>
          <w:lang w:val="ru-RU"/>
        </w:rPr>
      </w:pPr>
      <w:r w:rsidRPr="005B0165">
        <w:rPr>
          <w:rFonts w:ascii="Times New Roman" w:eastAsia="Times New Roman" w:hAnsi="Times New Roman" w:cs="Times New Roman"/>
          <w:i/>
          <w:iCs/>
          <w:sz w:val="16"/>
          <w:szCs w:val="16"/>
          <w:lang w:val="ru-RU"/>
        </w:rPr>
        <w:t xml:space="preserve">Источник: Итоги социально-экономического развития Гагаузии за 2024 год // Главное управление экономического развития и туризма Гагаузии. – </w:t>
      </w:r>
      <w:r w:rsidRPr="005B0165">
        <w:rPr>
          <w:rFonts w:ascii="Times New Roman" w:eastAsia="Times New Roman" w:hAnsi="Times New Roman" w:cs="Times New Roman"/>
          <w:i/>
          <w:iCs/>
          <w:sz w:val="16"/>
          <w:szCs w:val="16"/>
        </w:rPr>
        <w:t>URL</w:t>
      </w:r>
      <w:r w:rsidRPr="005B0165">
        <w:rPr>
          <w:rFonts w:ascii="Times New Roman" w:eastAsia="Times New Roman" w:hAnsi="Times New Roman" w:cs="Times New Roman"/>
          <w:i/>
          <w:iCs/>
          <w:sz w:val="16"/>
          <w:szCs w:val="16"/>
          <w:lang w:val="ru-RU"/>
        </w:rPr>
        <w:t xml:space="preserve">: </w:t>
      </w:r>
      <w:hyperlink r:id="rId34" w:tgtFrame="_new" w:history="1">
        <w:proofErr w:type="spellStart"/>
        <w:r w:rsidRPr="005B0165">
          <w:rPr>
            <w:rFonts w:ascii="Times New Roman" w:eastAsia="Times New Roman" w:hAnsi="Times New Roman" w:cs="Times New Roman"/>
            <w:i/>
            <w:iCs/>
            <w:color w:val="0563C1" w:themeColor="hyperlink"/>
            <w:sz w:val="16"/>
            <w:szCs w:val="16"/>
            <w:u w:val="single"/>
          </w:rPr>
          <w:t>econutag</w:t>
        </w:r>
        <w:proofErr w:type="spellEnd"/>
        <w:r w:rsidRPr="005B0165">
          <w:rPr>
            <w:rFonts w:ascii="Times New Roman" w:eastAsia="Times New Roman" w:hAnsi="Times New Roman" w:cs="Times New Roman"/>
            <w:i/>
            <w:iCs/>
            <w:color w:val="0563C1" w:themeColor="hyperlink"/>
            <w:sz w:val="16"/>
            <w:szCs w:val="16"/>
            <w:u w:val="single"/>
            <w:lang w:val="ru-RU"/>
          </w:rPr>
          <w:t>.</w:t>
        </w:r>
        <w:r w:rsidRPr="005B0165">
          <w:rPr>
            <w:rFonts w:ascii="Times New Roman" w:eastAsia="Times New Roman" w:hAnsi="Times New Roman" w:cs="Times New Roman"/>
            <w:i/>
            <w:iCs/>
            <w:color w:val="0563C1" w:themeColor="hyperlink"/>
            <w:sz w:val="16"/>
            <w:szCs w:val="16"/>
            <w:u w:val="single"/>
          </w:rPr>
          <w:t>md</w:t>
        </w:r>
      </w:hyperlink>
    </w:p>
    <w:p w:rsidR="00C77DDC" w:rsidRDefault="00C77DDC" w:rsidP="003F5D83">
      <w:pPr>
        <w:spacing w:after="0" w:line="240" w:lineRule="auto"/>
        <w:ind w:right="120"/>
        <w:jc w:val="both"/>
        <w:rPr>
          <w:rFonts w:ascii="Times New Roman" w:eastAsia="Times New Roman" w:hAnsi="Times New Roman" w:cs="Times New Roman"/>
          <w:i/>
          <w:iCs/>
          <w:color w:val="0563C1" w:themeColor="hyperlink"/>
          <w:sz w:val="16"/>
          <w:szCs w:val="16"/>
          <w:u w:val="single"/>
          <w:lang w:val="ru-RU"/>
        </w:rPr>
      </w:pPr>
    </w:p>
    <w:p w:rsidR="00AB68D4" w:rsidRPr="005B0165" w:rsidRDefault="00AB68D4" w:rsidP="003F5D83">
      <w:pPr>
        <w:spacing w:after="0" w:line="240" w:lineRule="auto"/>
        <w:ind w:right="120"/>
        <w:jc w:val="both"/>
        <w:rPr>
          <w:rFonts w:ascii="Times New Roman" w:eastAsia="Times New Roman" w:hAnsi="Times New Roman" w:cs="Times New Roman"/>
          <w:i/>
          <w:iCs/>
          <w:color w:val="0563C1" w:themeColor="hyperlink"/>
          <w:sz w:val="16"/>
          <w:szCs w:val="16"/>
          <w:u w:val="single"/>
          <w:lang w:val="ru-RU"/>
        </w:rPr>
      </w:pP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671C8">
        <w:rPr>
          <w:rFonts w:ascii="Times New Roman" w:hAnsi="Times New Roman" w:cs="Times New Roman"/>
          <w:kern w:val="2"/>
          <w:sz w:val="24"/>
          <w:szCs w:val="24"/>
          <w:lang w:val="ru-RU"/>
          <w14:ligatures w14:val="standardContextual"/>
        </w:rPr>
        <w:t>В 2024 году инвестиции в АТО Гагаузия были сосредоточены преимущественно в приобретении машин и оборудования, на долю которых приходилось 35,7%. Существенные вложения также направлялись в строительство нежилых зданий (19,4%) и приобретение транспортных средств (17,9%), что отражало ориентацию на развитие производственной и материально-технической базы. Инвестиции в инженерные сооружения составили 16,3%, тогда как вложения в земельные участки были минимальными — 4,2%. Прочие направления занимали 6,5% общего объёма (</w:t>
      </w:r>
      <w:r w:rsidRPr="00D71783">
        <w:rPr>
          <w:rFonts w:ascii="Times New Roman" w:hAnsi="Times New Roman" w:cs="Times New Roman"/>
          <w:kern w:val="2"/>
          <w:sz w:val="24"/>
          <w:szCs w:val="24"/>
          <w:lang w:val="ru-RU"/>
          <w14:ligatures w14:val="standardContextual"/>
        </w:rPr>
        <w:t>рисунок 2.9).</w:t>
      </w:r>
    </w:p>
    <w:p w:rsidR="003F5D83" w:rsidRPr="000671C8"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0671C8" w:rsidRDefault="003F5D83" w:rsidP="003F5D83">
      <w:pPr>
        <w:spacing w:after="0" w:line="278" w:lineRule="auto"/>
        <w:rPr>
          <w:b/>
          <w:bCs/>
          <w:kern w:val="2"/>
          <w:sz w:val="24"/>
          <w:szCs w:val="24"/>
          <w:lang w:val="ru-RU"/>
          <w14:ligatures w14:val="standardContextual"/>
        </w:rPr>
      </w:pPr>
      <w:r w:rsidRPr="000671C8">
        <w:rPr>
          <w:noProof/>
          <w:kern w:val="2"/>
          <w:sz w:val="24"/>
          <w:szCs w:val="24"/>
          <w:lang w:val="ru-RU" w:eastAsia="ru-RU"/>
          <w14:ligatures w14:val="standardContextual"/>
        </w:rPr>
        <w:drawing>
          <wp:inline distT="0" distB="0" distL="0" distR="0" wp14:anchorId="1C7A94AC" wp14:editId="25A643CE">
            <wp:extent cx="5412848" cy="2908935"/>
            <wp:effectExtent l="0" t="0" r="16510" b="5715"/>
            <wp:docPr id="656124243" name="Диаграмма 1">
              <a:extLst xmlns:a="http://schemas.openxmlformats.org/drawingml/2006/main">
                <a:ext uri="{FF2B5EF4-FFF2-40B4-BE49-F238E27FC236}">
                  <a16:creationId xmlns:a16="http://schemas.microsoft.com/office/drawing/2014/main" id="{D8A1E1AE-148E-196D-8E28-FF540CACDC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F5D83" w:rsidRPr="000671C8"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671C8">
        <w:rPr>
          <w:rFonts w:ascii="Times New Roman" w:hAnsi="Times New Roman" w:cs="Times New Roman"/>
          <w:b/>
          <w:bCs/>
          <w:kern w:val="2"/>
          <w:sz w:val="24"/>
          <w:szCs w:val="24"/>
          <w:lang w:val="ru-RU"/>
          <w14:ligatures w14:val="standardContextual"/>
        </w:rPr>
        <w:t>Рис</w:t>
      </w:r>
      <w:r>
        <w:rPr>
          <w:rFonts w:ascii="Times New Roman" w:hAnsi="Times New Roman" w:cs="Times New Roman"/>
          <w:b/>
          <w:bCs/>
          <w:kern w:val="2"/>
          <w:sz w:val="24"/>
          <w:szCs w:val="24"/>
          <w:lang w:val="ru-RU"/>
          <w14:ligatures w14:val="standardContextual"/>
        </w:rPr>
        <w:t>унок 2.</w:t>
      </w:r>
      <w:r w:rsidRPr="000671C8">
        <w:rPr>
          <w:rFonts w:ascii="Times New Roman" w:hAnsi="Times New Roman" w:cs="Times New Roman"/>
          <w:b/>
          <w:bCs/>
          <w:kern w:val="2"/>
          <w:sz w:val="24"/>
          <w:szCs w:val="24"/>
          <w:lang w:val="ru-RU"/>
          <w14:ligatures w14:val="standardContextual"/>
        </w:rPr>
        <w:t>9. Структура инвестиций РР АТО Гагаузия по объектам в 2024 году, %</w:t>
      </w:r>
    </w:p>
    <w:p w:rsidR="003F5D83" w:rsidRPr="00844989" w:rsidRDefault="003F5D83" w:rsidP="003F5D83">
      <w:pPr>
        <w:spacing w:after="0" w:line="240" w:lineRule="auto"/>
        <w:ind w:left="284" w:right="403"/>
        <w:jc w:val="both"/>
        <w:rPr>
          <w:rFonts w:ascii="Times New Roman" w:eastAsia="Times New Roman" w:hAnsi="Times New Roman" w:cs="Times New Roman"/>
          <w:i/>
          <w:iCs/>
          <w:color w:val="0563C1" w:themeColor="hyperlink"/>
          <w:sz w:val="16"/>
          <w:szCs w:val="16"/>
          <w:u w:val="single"/>
          <w:lang w:val="ru-RU"/>
        </w:rPr>
      </w:pPr>
      <w:r w:rsidRPr="004A5154">
        <w:rPr>
          <w:rFonts w:ascii="Times New Roman" w:eastAsia="Times New Roman" w:hAnsi="Times New Roman" w:cs="Times New Roman"/>
          <w:i/>
          <w:iCs/>
          <w:sz w:val="16"/>
          <w:szCs w:val="16"/>
          <w:lang w:val="ru-RU"/>
        </w:rPr>
        <w:t xml:space="preserve">Источник: Итоги социально-экономического развития Гагаузии за 2024 год // Главное управление экономического развития и туризма Гагаузии. – </w:t>
      </w:r>
      <w:r w:rsidRPr="004A5154">
        <w:rPr>
          <w:rFonts w:ascii="Times New Roman" w:eastAsia="Times New Roman" w:hAnsi="Times New Roman" w:cs="Times New Roman"/>
          <w:i/>
          <w:iCs/>
          <w:sz w:val="16"/>
          <w:szCs w:val="16"/>
        </w:rPr>
        <w:t>URL</w:t>
      </w:r>
      <w:r w:rsidRPr="004A5154">
        <w:rPr>
          <w:rFonts w:ascii="Times New Roman" w:eastAsia="Times New Roman" w:hAnsi="Times New Roman" w:cs="Times New Roman"/>
          <w:i/>
          <w:iCs/>
          <w:sz w:val="16"/>
          <w:szCs w:val="16"/>
          <w:lang w:val="ru-RU"/>
        </w:rPr>
        <w:t xml:space="preserve">: </w:t>
      </w:r>
      <w:hyperlink r:id="rId36" w:tgtFrame="_new" w:history="1">
        <w:proofErr w:type="spellStart"/>
        <w:r w:rsidRPr="004A5154">
          <w:rPr>
            <w:rFonts w:ascii="Times New Roman" w:eastAsia="Times New Roman" w:hAnsi="Times New Roman" w:cs="Times New Roman"/>
            <w:i/>
            <w:iCs/>
            <w:color w:val="0563C1" w:themeColor="hyperlink"/>
            <w:sz w:val="16"/>
            <w:szCs w:val="16"/>
            <w:u w:val="single"/>
          </w:rPr>
          <w:t>econutag</w:t>
        </w:r>
        <w:proofErr w:type="spellEnd"/>
        <w:r w:rsidRPr="004A5154">
          <w:rPr>
            <w:rFonts w:ascii="Times New Roman" w:eastAsia="Times New Roman" w:hAnsi="Times New Roman" w:cs="Times New Roman"/>
            <w:i/>
            <w:iCs/>
            <w:color w:val="0563C1" w:themeColor="hyperlink"/>
            <w:sz w:val="16"/>
            <w:szCs w:val="16"/>
            <w:u w:val="single"/>
            <w:lang w:val="ru-RU"/>
          </w:rPr>
          <w:t>.</w:t>
        </w:r>
        <w:r w:rsidRPr="004A5154">
          <w:rPr>
            <w:rFonts w:ascii="Times New Roman" w:eastAsia="Times New Roman" w:hAnsi="Times New Roman" w:cs="Times New Roman"/>
            <w:i/>
            <w:iCs/>
            <w:color w:val="0563C1" w:themeColor="hyperlink"/>
            <w:sz w:val="16"/>
            <w:szCs w:val="16"/>
            <w:u w:val="single"/>
          </w:rPr>
          <w:t>md</w:t>
        </w:r>
      </w:hyperlink>
    </w:p>
    <w:p w:rsidR="00C77DDC" w:rsidRPr="00ED1CE8" w:rsidRDefault="00C77DDC" w:rsidP="003F5D83">
      <w:pPr>
        <w:spacing w:after="0" w:line="240" w:lineRule="auto"/>
        <w:ind w:left="284" w:right="403"/>
        <w:jc w:val="both"/>
        <w:rPr>
          <w:rFonts w:ascii="Times New Roman" w:eastAsia="Times New Roman" w:hAnsi="Times New Roman" w:cs="Times New Roman"/>
          <w:i/>
          <w:iCs/>
          <w:color w:val="0563C1" w:themeColor="hyperlink"/>
          <w:sz w:val="16"/>
          <w:szCs w:val="16"/>
          <w:u w:val="single"/>
          <w:lang w:val="ru-RU"/>
        </w:rPr>
      </w:pP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671C8">
        <w:rPr>
          <w:rFonts w:ascii="Times New Roman" w:hAnsi="Times New Roman" w:cs="Times New Roman"/>
          <w:kern w:val="2"/>
          <w:sz w:val="24"/>
          <w:szCs w:val="24"/>
          <w:lang w:val="ru-RU"/>
          <w14:ligatures w14:val="standardContextual"/>
        </w:rPr>
        <w:t>В целом структура инвестиций была ориентирована на обновление основных фондов и развитие инфраструктуры, с приоритетом в пользу активной части капитала.</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AB68D4"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Default="003F5D83" w:rsidP="003F5D83">
      <w:pPr>
        <w:spacing w:after="0" w:line="240" w:lineRule="auto"/>
        <w:jc w:val="both"/>
        <w:rPr>
          <w:rFonts w:ascii="Times New Roman" w:eastAsia="Times New Roman" w:hAnsi="Times New Roman" w:cs="Times New Roman"/>
          <w:b/>
          <w:bCs/>
          <w:i/>
          <w:iCs/>
          <w:color w:val="000000"/>
          <w:sz w:val="24"/>
          <w:szCs w:val="24"/>
          <w:lang w:val="ru-RU"/>
        </w:rPr>
      </w:pPr>
      <w:r>
        <w:rPr>
          <w:rFonts w:ascii="Times New Roman" w:eastAsia="Times New Roman" w:hAnsi="Times New Roman" w:cs="Times New Roman"/>
          <w:b/>
          <w:bCs/>
          <w:i/>
          <w:iCs/>
          <w:color w:val="000000"/>
          <w:sz w:val="24"/>
          <w:szCs w:val="24"/>
          <w:lang w:val="ru-RU"/>
        </w:rPr>
        <w:lastRenderedPageBreak/>
        <w:t xml:space="preserve">Наличие законодательной базы на региональном уровне. </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В регионе АТО Гагаузия, наряду с национальным законодательством действует Закон №73 от 9.08.2016 «Об инвестициях», который регламентирует инвестиционную деятельность, определяет правовые и экономические рамки для инвестиционных преференций, гарантирует защиту прав инвесторов, определяет меры по поддержке инвестиций со стороны государственных органов, а также предоставляет арбитраж споров с участием инвесторов.</w:t>
      </w:r>
    </w:p>
    <w:p w:rsidR="003F5D83"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262B1A">
        <w:rPr>
          <w:rFonts w:ascii="Times New Roman" w:eastAsia="Times New Roman" w:hAnsi="Times New Roman" w:cs="Times New Roman"/>
          <w:color w:val="000000"/>
          <w:sz w:val="24"/>
          <w:szCs w:val="24"/>
          <w:lang w:val="ru-RU"/>
        </w:rPr>
        <w:t>Инвестиционные преференции применяются в следующих областях:</w:t>
      </w:r>
      <w:r>
        <w:rPr>
          <w:rFonts w:ascii="Times New Roman" w:eastAsia="Times New Roman" w:hAnsi="Times New Roman" w:cs="Times New Roman"/>
          <w:color w:val="000000"/>
          <w:sz w:val="24"/>
          <w:szCs w:val="24"/>
          <w:lang w:val="ru-RU"/>
        </w:rPr>
        <w:t xml:space="preserve"> промышленность, сельское хозяйство, инфраструктура, эффективность использования энергии и возобновляемые источники энергии, информационные технологии, туризм и гостиничные услуги. Основные виды инвестиционных преференций, установленных законом:</w:t>
      </w:r>
    </w:p>
    <w:p w:rsidR="003F5D83" w:rsidRDefault="003F5D83" w:rsidP="003F5D83">
      <w:pPr>
        <w:pStyle w:val="a3"/>
        <w:numPr>
          <w:ilvl w:val="0"/>
          <w:numId w:val="2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Предоставление натурных грантов местными органами публичного управления – передача земельных участков, зданий, сооружений, и др.;</w:t>
      </w:r>
    </w:p>
    <w:p w:rsidR="003F5D83" w:rsidRDefault="003F5D83" w:rsidP="003F5D83">
      <w:pPr>
        <w:pStyle w:val="a3"/>
        <w:numPr>
          <w:ilvl w:val="0"/>
          <w:numId w:val="2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Годовое возмещение суммы подоходного налога с предпринимательской деятельности, в течение 5 лет;</w:t>
      </w:r>
    </w:p>
    <w:p w:rsidR="003F5D83" w:rsidRDefault="003F5D83" w:rsidP="003F5D83">
      <w:pPr>
        <w:pStyle w:val="a3"/>
        <w:numPr>
          <w:ilvl w:val="0"/>
          <w:numId w:val="2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Инвестиционные субсидии – возмещение до 30% (не более 5 миллионов леев) фактических затрат на выполнение строительно-монтажных работ, приобретение оборудования без НДС; возмещение до 50% затрат на обучение или переобучение работников в промышленной сфере;</w:t>
      </w:r>
    </w:p>
    <w:p w:rsidR="003F5D83" w:rsidRDefault="003F5D83" w:rsidP="003F5D83">
      <w:pPr>
        <w:pStyle w:val="a3"/>
        <w:numPr>
          <w:ilvl w:val="0"/>
          <w:numId w:val="21"/>
        </w:numPr>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Принцип “единого окна” – помощь, оказываемая инвесторам по сбору и подготовке документов за счет сокращения времени на выдачу разрешений.</w:t>
      </w:r>
    </w:p>
    <w:p w:rsidR="003F5D83" w:rsidRDefault="003F5D83" w:rsidP="003F5D83">
      <w:pPr>
        <w:spacing w:after="0" w:line="240" w:lineRule="auto"/>
        <w:ind w:firstLine="709"/>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Эффективное применение положений данного закона дает дополнительные возможности для привлечения инвестиций в регион.</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b/>
          <w:bCs/>
          <w:i/>
          <w:iCs/>
          <w:color w:val="121212"/>
          <w:sz w:val="24"/>
          <w:szCs w:val="24"/>
          <w:lang w:val="ru-RU"/>
        </w:rPr>
        <w:t xml:space="preserve">Развитие потенциала действующих субъектов инфраструктуры поддержки предпринимательства. </w:t>
      </w:r>
      <w:r>
        <w:rPr>
          <w:rFonts w:ascii="Times New Roman" w:eastAsia="Times New Roman" w:hAnsi="Times New Roman" w:cs="Times New Roman"/>
          <w:color w:val="000000"/>
          <w:sz w:val="24"/>
          <w:szCs w:val="24"/>
          <w:lang w:val="ru-RU"/>
        </w:rPr>
        <w:t>К наиболее значимым субъектам инфраструктуры поддержки предпринимательства в рамках региона АТО Гагаузия можно причислить следующие: Зона свободного предпринимательства (ЗСП) «Производственный парк «</w:t>
      </w:r>
      <w:proofErr w:type="spellStart"/>
      <w:r>
        <w:rPr>
          <w:rFonts w:ascii="Times New Roman" w:eastAsia="Times New Roman" w:hAnsi="Times New Roman" w:cs="Times New Roman"/>
          <w:color w:val="000000"/>
          <w:sz w:val="24"/>
          <w:szCs w:val="24"/>
          <w:lang w:val="ru-RU"/>
        </w:rPr>
        <w:t>Валканеш</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субзона</w:t>
      </w:r>
      <w:proofErr w:type="spellEnd"/>
      <w:r>
        <w:rPr>
          <w:rFonts w:ascii="Times New Roman" w:eastAsia="Times New Roman" w:hAnsi="Times New Roman" w:cs="Times New Roman"/>
          <w:color w:val="000000"/>
          <w:sz w:val="24"/>
          <w:szCs w:val="24"/>
          <w:lang w:val="ru-RU"/>
        </w:rPr>
        <w:t xml:space="preserve"> ЗСП «</w:t>
      </w:r>
      <w:proofErr w:type="spellStart"/>
      <w:r>
        <w:rPr>
          <w:rFonts w:ascii="Times New Roman" w:eastAsia="Times New Roman" w:hAnsi="Times New Roman" w:cs="Times New Roman"/>
          <w:color w:val="000000"/>
          <w:sz w:val="24"/>
          <w:szCs w:val="24"/>
          <w:lang w:val="ru-RU"/>
        </w:rPr>
        <w:t>Валканеш</w:t>
      </w:r>
      <w:proofErr w:type="spellEnd"/>
      <w:r>
        <w:rPr>
          <w:rFonts w:ascii="Times New Roman" w:eastAsia="Times New Roman" w:hAnsi="Times New Roman" w:cs="Times New Roman"/>
          <w:color w:val="000000"/>
          <w:sz w:val="24"/>
          <w:szCs w:val="24"/>
          <w:lang w:val="ru-RU"/>
        </w:rPr>
        <w:t xml:space="preserve">» и Промышленный парк в </w:t>
      </w:r>
      <w:proofErr w:type="spellStart"/>
      <w:r>
        <w:rPr>
          <w:rFonts w:ascii="Times New Roman" w:eastAsia="Times New Roman" w:hAnsi="Times New Roman" w:cs="Times New Roman"/>
          <w:color w:val="000000"/>
          <w:sz w:val="24"/>
          <w:szCs w:val="24"/>
          <w:lang w:val="ru-RU"/>
        </w:rPr>
        <w:t>мун</w:t>
      </w:r>
      <w:proofErr w:type="spellEnd"/>
      <w:r>
        <w:rPr>
          <w:rFonts w:ascii="Times New Roman" w:eastAsia="Times New Roman" w:hAnsi="Times New Roman" w:cs="Times New Roman"/>
          <w:color w:val="000000"/>
          <w:sz w:val="24"/>
          <w:szCs w:val="24"/>
          <w:lang w:val="ru-RU"/>
        </w:rPr>
        <w:t>. Комрат, Бизнес-инкубатор</w:t>
      </w:r>
      <w:r w:rsidRPr="00E018F4">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мун</w:t>
      </w:r>
      <w:proofErr w:type="spellEnd"/>
      <w:r>
        <w:rPr>
          <w:rFonts w:ascii="Times New Roman" w:eastAsia="Times New Roman" w:hAnsi="Times New Roman" w:cs="Times New Roman"/>
          <w:color w:val="000000"/>
          <w:sz w:val="24"/>
          <w:szCs w:val="24"/>
          <w:lang w:val="ru-RU"/>
        </w:rPr>
        <w:t xml:space="preserve">. Чадыр-Лунга, </w:t>
      </w:r>
      <w:proofErr w:type="spellStart"/>
      <w:r>
        <w:rPr>
          <w:rFonts w:ascii="Times New Roman" w:eastAsia="Times New Roman" w:hAnsi="Times New Roman" w:cs="Times New Roman"/>
          <w:color w:val="000000"/>
          <w:sz w:val="24"/>
          <w:szCs w:val="24"/>
          <w:lang w:val="ru-RU"/>
        </w:rPr>
        <w:t>Комратский</w:t>
      </w:r>
      <w:proofErr w:type="spellEnd"/>
      <w:r>
        <w:rPr>
          <w:rFonts w:ascii="Times New Roman" w:eastAsia="Times New Roman" w:hAnsi="Times New Roman" w:cs="Times New Roman"/>
          <w:color w:val="000000"/>
          <w:sz w:val="24"/>
          <w:szCs w:val="24"/>
          <w:lang w:val="ru-RU"/>
        </w:rPr>
        <w:t xml:space="preserve"> государственный университет и созданный на его базе Инновационный инкубатор «Инно-Центр», ТПП РМ филиал Гагаузия и др.</w:t>
      </w:r>
    </w:p>
    <w:p w:rsidR="003F5D83" w:rsidRPr="00262B1A" w:rsidRDefault="003F5D83" w:rsidP="003F5D83">
      <w:pPr>
        <w:spacing w:after="0" w:line="240" w:lineRule="auto"/>
        <w:ind w:firstLine="709"/>
        <w:rPr>
          <w:rFonts w:ascii="Times New Roman" w:hAnsi="Times New Roman" w:cs="Times New Roman"/>
          <w:b/>
          <w:bCs/>
          <w:kern w:val="2"/>
          <w:sz w:val="24"/>
          <w:szCs w:val="24"/>
          <w:lang w:val="ru-RU"/>
          <w14:ligatures w14:val="standardContextual"/>
        </w:rPr>
      </w:pPr>
    </w:p>
    <w:p w:rsidR="003F5D83" w:rsidRPr="008214A7" w:rsidRDefault="003F5D83" w:rsidP="003F5D83">
      <w:pPr>
        <w:pStyle w:val="a7"/>
        <w:ind w:firstLine="709"/>
      </w:pPr>
      <w:r w:rsidRPr="00B4559B">
        <w:rPr>
          <w:b/>
          <w:bCs/>
          <w:i/>
          <w:iCs/>
          <w:kern w:val="2"/>
          <w14:ligatures w14:val="standardContextual"/>
        </w:rPr>
        <w:t>Зона свободного предпринимательства «ПП «</w:t>
      </w:r>
      <w:proofErr w:type="spellStart"/>
      <w:r w:rsidRPr="00B4559B">
        <w:rPr>
          <w:b/>
          <w:bCs/>
          <w:i/>
          <w:iCs/>
          <w:kern w:val="2"/>
          <w14:ligatures w14:val="standardContextual"/>
        </w:rPr>
        <w:t>Валканеш</w:t>
      </w:r>
      <w:proofErr w:type="spellEnd"/>
      <w:r w:rsidRPr="00B4559B">
        <w:rPr>
          <w:b/>
          <w:bCs/>
          <w:i/>
          <w:iCs/>
          <w:kern w:val="2"/>
          <w14:ligatures w14:val="standardContextual"/>
        </w:rPr>
        <w:t>»</w:t>
      </w:r>
      <w:r w:rsidRPr="00B4559B">
        <w:rPr>
          <w:rStyle w:val="af"/>
          <w:b/>
          <w:bCs/>
          <w:kern w:val="2"/>
          <w14:ligatures w14:val="standardContextual"/>
        </w:rPr>
        <w:footnoteReference w:id="2"/>
      </w:r>
      <w:r w:rsidRPr="00B4559B">
        <w:rPr>
          <w:b/>
          <w:bCs/>
          <w:i/>
          <w:iCs/>
          <w:kern w:val="2"/>
          <w14:ligatures w14:val="standardContextual"/>
        </w:rPr>
        <w:t xml:space="preserve">. </w:t>
      </w:r>
      <w:r w:rsidRPr="00B4559B">
        <w:t>Свободная</w:t>
      </w:r>
      <w:r w:rsidRPr="008214A7">
        <w:t xml:space="preserve"> экономическая зона «ПП «</w:t>
      </w:r>
      <w:proofErr w:type="spellStart"/>
      <w:r w:rsidRPr="008214A7">
        <w:t>Валканеш</w:t>
      </w:r>
      <w:proofErr w:type="spellEnd"/>
      <w:r w:rsidRPr="008214A7">
        <w:t>» выступает важным элементом формирования возможностей экономического роста АТО Гагаузия. По состоянию на 31 декабря 2024 года в зоне зарегистрировано 29 резидентов, что свидетельствует о наличии сформированной производственной и инвестиционной базы.</w:t>
      </w:r>
    </w:p>
    <w:p w:rsidR="003F5D83" w:rsidRPr="008214A7" w:rsidRDefault="003F5D83" w:rsidP="003F5D83">
      <w:pPr>
        <w:pStyle w:val="a7"/>
        <w:ind w:firstLine="709"/>
      </w:pPr>
      <w:r w:rsidRPr="008214A7">
        <w:t>В 2024 году наблюдается значительный рост промышленной активности: объем произведённой продукции составил 630,2 млн леев, увеличившись на 58,2% по сравнению с предыдущим годом. Также существенно вырос объем оказанных услуг — до 52,1 млн леев (+50,6%), что указывает на расширение экономической деятельности и диверсификацию направлений развития. Дополнительным источником дохода выступают операции с транзитными товарами, обеспечившие 25,8 млн леев.</w:t>
      </w:r>
    </w:p>
    <w:p w:rsidR="003F5D83" w:rsidRPr="008214A7" w:rsidRDefault="003F5D83" w:rsidP="003F5D83">
      <w:pPr>
        <w:pStyle w:val="a7"/>
        <w:ind w:firstLine="709"/>
      </w:pPr>
      <w:r w:rsidRPr="008214A7">
        <w:t>Вместе с тем отмечается снижение доходов от внешней торговли до 13,8 млн леев, а также сокращение занятости до 515 человек (–19%), что указывает на наличие структурных ограничений и необходимости повышения эффективности использования трудовых ресурсов.</w:t>
      </w:r>
    </w:p>
    <w:p w:rsidR="003F5D83" w:rsidRPr="008214A7" w:rsidRDefault="003F5D83" w:rsidP="003F5D83">
      <w:pPr>
        <w:pStyle w:val="a7"/>
        <w:ind w:firstLine="709"/>
      </w:pPr>
      <w:r w:rsidRPr="008214A7">
        <w:t xml:space="preserve">Инвестиционная активность в зоне сохраняется: в 2024 году объем инвестиций составил 3 млн долларов США, а совокупный объем инвестиций с начала функционирования превысил 36 млн долларов. При этом налоговые поступления </w:t>
      </w:r>
      <w:r w:rsidRPr="008214A7">
        <w:lastRenderedPageBreak/>
        <w:t>увеличились до 47,7 млн леев (+49,5%), что отражает рост фискального вклада зоны в региональную экономику.</w:t>
      </w:r>
    </w:p>
    <w:p w:rsidR="003F5D83" w:rsidRPr="008214A7" w:rsidRDefault="003F5D83" w:rsidP="003F5D83">
      <w:pPr>
        <w:pStyle w:val="a7"/>
        <w:ind w:firstLine="709"/>
      </w:pPr>
      <w:r w:rsidRPr="008214A7">
        <w:t>Развитие инфраструктуры свободной зоны, включая модернизацию водоснабжения, улучшение дорожной сети и энергетической инфраструктуры, создает дополнительные условия для привлечения инвесторов и расширения деятельности резидентов.</w:t>
      </w:r>
    </w:p>
    <w:p w:rsidR="003F5D83" w:rsidRPr="008214A7" w:rsidRDefault="003F5D83" w:rsidP="003F5D83">
      <w:pPr>
        <w:pStyle w:val="a7"/>
        <w:ind w:firstLine="709"/>
      </w:pPr>
      <w:r w:rsidRPr="008214A7">
        <w:t>Таким образом, ЗСП «</w:t>
      </w:r>
      <w:proofErr w:type="spellStart"/>
      <w:r w:rsidRPr="008214A7">
        <w:t>Валканеш</w:t>
      </w:r>
      <w:proofErr w:type="spellEnd"/>
      <w:r w:rsidRPr="008214A7">
        <w:t>» формирует значительные возможности для экономического роста региона за счёт привлечения инвестиций, развития промышленного производства и улучшения инфраструктурной базы, несмотря на сохраняющиеся ограничения в сфере занятости и внешнеэкономической деятельности.</w:t>
      </w:r>
    </w:p>
    <w:p w:rsidR="003F5D83" w:rsidRPr="00173804" w:rsidRDefault="003F5D83" w:rsidP="003F5D83">
      <w:pPr>
        <w:spacing w:after="0" w:line="240" w:lineRule="auto"/>
        <w:ind w:firstLine="709"/>
        <w:jc w:val="both"/>
        <w:rPr>
          <w:rFonts w:ascii="Times New Roman" w:hAnsi="Times New Roman" w:cs="Times New Roman"/>
          <w:b/>
          <w:bCs/>
          <w:i/>
          <w:iCs/>
          <w:kern w:val="2"/>
          <w:sz w:val="24"/>
          <w:szCs w:val="24"/>
          <w:lang w:val="ru-RU"/>
          <w14:ligatures w14:val="standardContextual"/>
        </w:rPr>
      </w:pPr>
      <w:r w:rsidRPr="005D0119">
        <w:rPr>
          <w:rFonts w:ascii="Times New Roman" w:hAnsi="Times New Roman" w:cs="Times New Roman"/>
          <w:b/>
          <w:bCs/>
          <w:i/>
          <w:iCs/>
          <w:kern w:val="2"/>
          <w:sz w:val="24"/>
          <w:szCs w:val="24"/>
          <w:lang w:val="ru-RU"/>
          <w14:ligatures w14:val="standardContextual"/>
        </w:rPr>
        <w:t xml:space="preserve">Промышленный парк </w:t>
      </w:r>
      <w:proofErr w:type="spellStart"/>
      <w:r w:rsidRPr="005D0119">
        <w:rPr>
          <w:rFonts w:ascii="Times New Roman" w:hAnsi="Times New Roman" w:cs="Times New Roman"/>
          <w:b/>
          <w:bCs/>
          <w:i/>
          <w:iCs/>
          <w:kern w:val="2"/>
          <w:sz w:val="24"/>
          <w:szCs w:val="24"/>
          <w:lang w:val="ru-RU"/>
          <w14:ligatures w14:val="standardContextual"/>
        </w:rPr>
        <w:t>мун</w:t>
      </w:r>
      <w:proofErr w:type="spellEnd"/>
      <w:r w:rsidRPr="005D0119">
        <w:rPr>
          <w:rFonts w:ascii="Times New Roman" w:hAnsi="Times New Roman" w:cs="Times New Roman"/>
          <w:b/>
          <w:bCs/>
          <w:i/>
          <w:iCs/>
          <w:kern w:val="2"/>
          <w:sz w:val="24"/>
          <w:szCs w:val="24"/>
          <w:lang w:val="ru-RU"/>
          <w14:ligatures w14:val="standardContextual"/>
        </w:rPr>
        <w:t>. Комрат</w:t>
      </w:r>
      <w:r>
        <w:rPr>
          <w:rFonts w:ascii="Times New Roman" w:hAnsi="Times New Roman" w:cs="Times New Roman"/>
          <w:b/>
          <w:bCs/>
          <w:i/>
          <w:iCs/>
          <w:kern w:val="2"/>
          <w:sz w:val="24"/>
          <w:szCs w:val="24"/>
          <w:lang w:val="ru-RU"/>
          <w14:ligatures w14:val="standardContextual"/>
        </w:rPr>
        <w:t xml:space="preserve">. </w:t>
      </w:r>
      <w:r w:rsidRPr="005D0119">
        <w:rPr>
          <w:rFonts w:ascii="Times New Roman" w:hAnsi="Times New Roman" w:cs="Times New Roman"/>
          <w:kern w:val="2"/>
          <w:sz w:val="24"/>
          <w:szCs w:val="24"/>
          <w:lang w:val="ru-RU"/>
          <w14:ligatures w14:val="standardContextual"/>
        </w:rPr>
        <w:t>В настоящее время на территории Индустриального парка в муниципии Комрат созданы и успешно функционируют все виды коммунальной инфраструктуры, включая электроснабжение, газоснабжение, водоснабжение и канализацию, а также сбор твердых бытовых отходов. Этими услугами пользуются как резиденты Индустриального парка Комрат, так и резиденты СЭЗ «Промышленный парк „</w:t>
      </w:r>
      <w:proofErr w:type="spellStart"/>
      <w:r w:rsidRPr="005D0119">
        <w:rPr>
          <w:rFonts w:ascii="Times New Roman" w:hAnsi="Times New Roman" w:cs="Times New Roman"/>
          <w:kern w:val="2"/>
          <w:sz w:val="24"/>
          <w:szCs w:val="24"/>
          <w:lang w:val="ru-RU"/>
          <w14:ligatures w14:val="standardContextual"/>
        </w:rPr>
        <w:t>Валканеш</w:t>
      </w:r>
      <w:proofErr w:type="spellEnd"/>
      <w:r w:rsidRPr="005D0119">
        <w:rPr>
          <w:rFonts w:ascii="Times New Roman" w:hAnsi="Times New Roman" w:cs="Times New Roman"/>
          <w:kern w:val="2"/>
          <w:sz w:val="24"/>
          <w:szCs w:val="24"/>
          <w:lang w:val="ru-RU"/>
          <w14:ligatures w14:val="standardContextual"/>
        </w:rPr>
        <w:t>“», расположенного вблизи территории Индустриального парка «Комрат».</w:t>
      </w:r>
    </w:p>
    <w:p w:rsidR="003F5D83" w:rsidRPr="005D0119"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5D0119">
        <w:rPr>
          <w:rFonts w:ascii="Times New Roman" w:hAnsi="Times New Roman" w:cs="Times New Roman"/>
          <w:kern w:val="2"/>
          <w:sz w:val="24"/>
          <w:szCs w:val="24"/>
          <w:lang w:val="ru-RU"/>
          <w14:ligatures w14:val="standardContextual"/>
        </w:rPr>
        <w:t>В настоящее время занято 250 рабочих мест, а также осуществляют свою деятельность 5 резидентов, при этом один резидент находится на стадии строительства производственного объекта площадью 1500 кв. м.</w:t>
      </w:r>
    </w:p>
    <w:p w:rsidR="003F5D83" w:rsidRPr="005D0119"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5D0119">
        <w:rPr>
          <w:rFonts w:ascii="Times New Roman" w:hAnsi="Times New Roman" w:cs="Times New Roman"/>
          <w:kern w:val="2"/>
          <w:sz w:val="24"/>
          <w:szCs w:val="24"/>
          <w:lang w:val="ru-RU"/>
          <w14:ligatures w14:val="standardContextual"/>
        </w:rPr>
        <w:t>За период 2020 —2025 года резиденты Индустриального парка Комрат уплатили налоги на сумму 122 716 190 леев с начала функционирования. Всего привлечённые инвестиционные средства (примерно) — 120 000,0 тыс. леев.</w:t>
      </w:r>
    </w:p>
    <w:p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b/>
          <w:bCs/>
          <w:i/>
          <w:iCs/>
          <w:kern w:val="2"/>
          <w:sz w:val="24"/>
          <w:szCs w:val="24"/>
          <w:lang w:val="ru-RU"/>
          <w14:ligatures w14:val="standardContextual"/>
        </w:rPr>
        <w:t xml:space="preserve">Региональный Бизнес – инкубатор </w:t>
      </w:r>
      <w:r w:rsidRPr="00A31E25">
        <w:rPr>
          <w:rFonts w:ascii="Times New Roman" w:hAnsi="Times New Roman" w:cs="Times New Roman"/>
          <w:b/>
          <w:bCs/>
          <w:i/>
          <w:iCs/>
          <w:kern w:val="2"/>
          <w:sz w:val="24"/>
          <w:szCs w:val="24"/>
          <w:lang w:val="ru-RU"/>
          <w14:ligatures w14:val="standardContextual"/>
        </w:rPr>
        <w:t>(</w:t>
      </w:r>
      <w:proofErr w:type="spellStart"/>
      <w:r w:rsidRPr="00FF2365">
        <w:rPr>
          <w:rFonts w:ascii="Times New Roman" w:hAnsi="Times New Roman" w:cs="Times New Roman"/>
          <w:b/>
          <w:bCs/>
          <w:i/>
          <w:iCs/>
          <w:kern w:val="2"/>
          <w:sz w:val="24"/>
          <w:szCs w:val="24"/>
          <w:lang w:val="ru-RU"/>
          <w14:ligatures w14:val="standardContextual"/>
        </w:rPr>
        <w:t>мун</w:t>
      </w:r>
      <w:proofErr w:type="spellEnd"/>
      <w:r w:rsidRPr="00FF2365">
        <w:rPr>
          <w:rFonts w:ascii="Times New Roman" w:hAnsi="Times New Roman" w:cs="Times New Roman"/>
          <w:b/>
          <w:bCs/>
          <w:i/>
          <w:iCs/>
          <w:kern w:val="2"/>
          <w:sz w:val="24"/>
          <w:szCs w:val="24"/>
          <w:lang w:val="ru-RU"/>
          <w14:ligatures w14:val="standardContextual"/>
        </w:rPr>
        <w:t xml:space="preserve">. </w:t>
      </w:r>
      <w:proofErr w:type="spellStart"/>
      <w:r w:rsidRPr="00FF2365">
        <w:rPr>
          <w:rFonts w:ascii="Times New Roman" w:hAnsi="Times New Roman" w:cs="Times New Roman"/>
          <w:b/>
          <w:bCs/>
          <w:i/>
          <w:iCs/>
          <w:kern w:val="2"/>
          <w:sz w:val="24"/>
          <w:szCs w:val="24"/>
          <w:lang w:val="ru-RU"/>
          <w14:ligatures w14:val="standardContextual"/>
        </w:rPr>
        <w:t>Чадыр</w:t>
      </w:r>
      <w:proofErr w:type="spellEnd"/>
      <w:r w:rsidRPr="00FF2365">
        <w:rPr>
          <w:rFonts w:ascii="Times New Roman" w:hAnsi="Times New Roman" w:cs="Times New Roman"/>
          <w:b/>
          <w:bCs/>
          <w:i/>
          <w:iCs/>
          <w:kern w:val="2"/>
          <w:sz w:val="24"/>
          <w:szCs w:val="24"/>
          <w:lang w:val="ru-RU"/>
          <w14:ligatures w14:val="standardContextual"/>
        </w:rPr>
        <w:t xml:space="preserve"> – </w:t>
      </w:r>
      <w:proofErr w:type="spellStart"/>
      <w:r w:rsidRPr="00FF2365">
        <w:rPr>
          <w:rFonts w:ascii="Times New Roman" w:hAnsi="Times New Roman" w:cs="Times New Roman"/>
          <w:b/>
          <w:bCs/>
          <w:i/>
          <w:iCs/>
          <w:kern w:val="2"/>
          <w:sz w:val="24"/>
          <w:szCs w:val="24"/>
          <w:lang w:val="ru-RU"/>
          <w14:ligatures w14:val="standardContextual"/>
        </w:rPr>
        <w:t>Лунга</w:t>
      </w:r>
      <w:proofErr w:type="spellEnd"/>
      <w:r w:rsidRPr="00A31E25">
        <w:rPr>
          <w:rFonts w:ascii="Times New Roman" w:hAnsi="Times New Roman" w:cs="Times New Roman"/>
          <w:b/>
          <w:bCs/>
          <w:i/>
          <w:iCs/>
          <w:kern w:val="2"/>
          <w:sz w:val="24"/>
          <w:szCs w:val="24"/>
          <w:lang w:val="ru-RU"/>
          <w14:ligatures w14:val="standardContextual"/>
        </w:rPr>
        <w:t>).</w:t>
      </w:r>
      <w:r w:rsidRPr="00FF2365">
        <w:rPr>
          <w:rFonts w:ascii="Times New Roman" w:hAnsi="Times New Roman" w:cs="Times New Roman"/>
          <w:kern w:val="2"/>
          <w:sz w:val="24"/>
          <w:szCs w:val="24"/>
          <w:lang w:val="ru-RU"/>
          <w14:ligatures w14:val="standardContextual"/>
        </w:rPr>
        <w:t xml:space="preserve"> Ощутимый вклад в развитие предпринимательства в автономии оказывает Региональный Бизнес – инкубатор (</w:t>
      </w:r>
      <w:r w:rsidRPr="00FF2365">
        <w:rPr>
          <w:rFonts w:ascii="Times New Roman" w:hAnsi="Times New Roman" w:cs="Times New Roman"/>
          <w:kern w:val="2"/>
          <w:sz w:val="24"/>
          <w:szCs w:val="24"/>
          <w14:ligatures w14:val="standardContextual"/>
        </w:rPr>
        <w:t>IACL</w:t>
      </w:r>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lang w:val="ru-RU"/>
          <w14:ligatures w14:val="standardContextual"/>
        </w:rPr>
        <w:t>мун</w:t>
      </w:r>
      <w:proofErr w:type="spellEnd"/>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lang w:val="ru-RU"/>
          <w14:ligatures w14:val="standardContextual"/>
        </w:rPr>
        <w:t>Чадыр</w:t>
      </w:r>
      <w:proofErr w:type="spellEnd"/>
      <w:r w:rsidRPr="00FF2365">
        <w:rPr>
          <w:rFonts w:ascii="Times New Roman" w:hAnsi="Times New Roman" w:cs="Times New Roman"/>
          <w:kern w:val="2"/>
          <w:sz w:val="24"/>
          <w:szCs w:val="24"/>
          <w:lang w:val="ru-RU"/>
          <w14:ligatures w14:val="standardContextual"/>
        </w:rPr>
        <w:t xml:space="preserve"> – </w:t>
      </w:r>
      <w:proofErr w:type="spellStart"/>
      <w:r w:rsidRPr="00FF2365">
        <w:rPr>
          <w:rFonts w:ascii="Times New Roman" w:hAnsi="Times New Roman" w:cs="Times New Roman"/>
          <w:kern w:val="2"/>
          <w:sz w:val="24"/>
          <w:szCs w:val="24"/>
          <w:lang w:val="ru-RU"/>
          <w14:ligatures w14:val="standardContextual"/>
        </w:rPr>
        <w:t>Лунга</w:t>
      </w:r>
      <w:proofErr w:type="spellEnd"/>
      <w:r w:rsidRPr="00FF2365">
        <w:rPr>
          <w:rFonts w:ascii="Times New Roman" w:hAnsi="Times New Roman" w:cs="Times New Roman"/>
          <w:kern w:val="2"/>
          <w:sz w:val="24"/>
          <w:szCs w:val="24"/>
          <w:lang w:val="ru-RU"/>
          <w14:ligatures w14:val="standardContextual"/>
        </w:rPr>
        <w:t>, где в течении 2024 года в Бизнес-инкубаторе размещалось 19 резидентов микро и малых предприятий: 8 компаний в сфере производства и 11 предприятий в сфере услуг.</w:t>
      </w:r>
    </w:p>
    <w:p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Открыто 101 рабочее место, из них 38 женщин и 63 мужчин. За отчетный период по показателям, собираемы</w:t>
      </w:r>
      <w:r>
        <w:rPr>
          <w:rFonts w:ascii="Times New Roman" w:hAnsi="Times New Roman" w:cs="Times New Roman"/>
          <w:kern w:val="2"/>
          <w:sz w:val="24"/>
          <w:szCs w:val="24"/>
          <w:lang w:val="ru-RU"/>
          <w14:ligatures w14:val="standardContextual"/>
        </w:rPr>
        <w:t>м</w:t>
      </w:r>
      <w:r w:rsidRPr="00FF2365">
        <w:rPr>
          <w:rFonts w:ascii="Times New Roman" w:hAnsi="Times New Roman" w:cs="Times New Roman"/>
          <w:kern w:val="2"/>
          <w:sz w:val="24"/>
          <w:szCs w:val="24"/>
          <w:lang w:val="ru-RU"/>
          <w14:ligatures w14:val="standardContextual"/>
        </w:rPr>
        <w:t xml:space="preserve"> у резидентов</w:t>
      </w:r>
      <w:r>
        <w:rPr>
          <w:rFonts w:ascii="Times New Roman" w:hAnsi="Times New Roman" w:cs="Times New Roman"/>
          <w:kern w:val="2"/>
          <w:sz w:val="24"/>
          <w:szCs w:val="24"/>
          <w:lang w:val="ru-RU"/>
          <w14:ligatures w14:val="standardContextual"/>
        </w:rPr>
        <w:t>,</w:t>
      </w:r>
      <w:r w:rsidRPr="00FF2365">
        <w:rPr>
          <w:rFonts w:ascii="Times New Roman" w:hAnsi="Times New Roman" w:cs="Times New Roman"/>
          <w:kern w:val="2"/>
          <w:sz w:val="24"/>
          <w:szCs w:val="24"/>
          <w:lang w:val="ru-RU"/>
          <w14:ligatures w14:val="standardContextual"/>
        </w:rPr>
        <w:t xml:space="preserve"> оборот компаний составляет – 13,9 млн. леев.</w:t>
      </w:r>
    </w:p>
    <w:p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Бизнес-инкубатор поддерживает всех граждан - независимо от возраста, пола, уровня образования, национальности, географического происхождения, желающих развивать свои предпринимательские навыки, чтобы начать или развить свой существующий бизнес. Изначальной инкубации подвергаются заинтересованные молодые предприниматели в возрасте от 18-35 лет, малые и средние предприятия, которые внедряют новые конкурентные отрасли, инновации в Гагаузии.</w:t>
      </w:r>
    </w:p>
    <w:p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В рамках программы поддержи «</w:t>
      </w:r>
      <w:r w:rsidRPr="00FF2365">
        <w:rPr>
          <w:rFonts w:ascii="Times New Roman" w:hAnsi="Times New Roman" w:cs="Times New Roman"/>
          <w:kern w:val="2"/>
          <w:sz w:val="24"/>
          <w:szCs w:val="24"/>
          <w14:ligatures w14:val="standardContextual"/>
        </w:rPr>
        <w:t>Instrument</w:t>
      </w:r>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de</w:t>
      </w:r>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sus</w:t>
      </w:r>
      <w:r w:rsidRPr="00FF2365">
        <w:rPr>
          <w:rFonts w:ascii="Times New Roman" w:hAnsi="Times New Roman" w:cs="Times New Roman"/>
          <w:kern w:val="2"/>
          <w:sz w:val="24"/>
          <w:szCs w:val="24"/>
          <w:lang w:val="ru-RU"/>
          <w14:ligatures w14:val="standardContextual"/>
        </w:rPr>
        <w:t>ț</w:t>
      </w:r>
      <w:proofErr w:type="spellStart"/>
      <w:r w:rsidRPr="00FF2365">
        <w:rPr>
          <w:rFonts w:ascii="Times New Roman" w:hAnsi="Times New Roman" w:cs="Times New Roman"/>
          <w:kern w:val="2"/>
          <w:sz w:val="24"/>
          <w:szCs w:val="24"/>
          <w14:ligatures w14:val="standardContextual"/>
        </w:rPr>
        <w:t>inere</w:t>
      </w:r>
      <w:proofErr w:type="spellEnd"/>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14:ligatures w14:val="standardContextual"/>
        </w:rPr>
        <w:t>pentru</w:t>
      </w:r>
      <w:proofErr w:type="spellEnd"/>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14:ligatures w14:val="standardContextual"/>
        </w:rPr>
        <w:t>dezvoltarea</w:t>
      </w:r>
      <w:proofErr w:type="spellEnd"/>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Re</w:t>
      </w:r>
      <w:r w:rsidRPr="00FF2365">
        <w:rPr>
          <w:rFonts w:ascii="Times New Roman" w:hAnsi="Times New Roman" w:cs="Times New Roman"/>
          <w:kern w:val="2"/>
          <w:sz w:val="24"/>
          <w:szCs w:val="24"/>
          <w:lang w:val="ru-RU"/>
          <w14:ligatures w14:val="standardContextual"/>
        </w:rPr>
        <w:t>ț</w:t>
      </w:r>
      <w:proofErr w:type="spellStart"/>
      <w:r w:rsidRPr="00FF2365">
        <w:rPr>
          <w:rFonts w:ascii="Times New Roman" w:hAnsi="Times New Roman" w:cs="Times New Roman"/>
          <w:kern w:val="2"/>
          <w:sz w:val="24"/>
          <w:szCs w:val="24"/>
          <w14:ligatures w14:val="standardContextual"/>
        </w:rPr>
        <w:t>elei</w:t>
      </w:r>
      <w:proofErr w:type="spellEnd"/>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14:ligatures w14:val="standardContextual"/>
        </w:rPr>
        <w:t>Incubatoarelor</w:t>
      </w:r>
      <w:proofErr w:type="spellEnd"/>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de</w:t>
      </w:r>
      <w:r w:rsidRPr="00FF2365">
        <w:rPr>
          <w:rFonts w:ascii="Times New Roman" w:hAnsi="Times New Roman" w:cs="Times New Roman"/>
          <w:kern w:val="2"/>
          <w:sz w:val="24"/>
          <w:szCs w:val="24"/>
          <w:lang w:val="ru-RU"/>
          <w14:ligatures w14:val="standardContextual"/>
        </w:rPr>
        <w:t xml:space="preserve"> </w:t>
      </w:r>
      <w:proofErr w:type="spellStart"/>
      <w:r w:rsidRPr="00FF2365">
        <w:rPr>
          <w:rFonts w:ascii="Times New Roman" w:hAnsi="Times New Roman" w:cs="Times New Roman"/>
          <w:kern w:val="2"/>
          <w:sz w:val="24"/>
          <w:szCs w:val="24"/>
          <w14:ligatures w14:val="standardContextual"/>
        </w:rPr>
        <w:t>Afaceri</w:t>
      </w:r>
      <w:proofErr w:type="spellEnd"/>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din</w:t>
      </w:r>
      <w:r w:rsidRPr="00FF2365">
        <w:rPr>
          <w:rFonts w:ascii="Times New Roman" w:hAnsi="Times New Roman" w:cs="Times New Roman"/>
          <w:kern w:val="2"/>
          <w:sz w:val="24"/>
          <w:szCs w:val="24"/>
          <w:lang w:val="ru-RU"/>
          <w14:ligatures w14:val="standardContextual"/>
        </w:rPr>
        <w:t xml:space="preserve"> </w:t>
      </w:r>
      <w:r w:rsidRPr="00FF2365">
        <w:rPr>
          <w:rFonts w:ascii="Times New Roman" w:hAnsi="Times New Roman" w:cs="Times New Roman"/>
          <w:kern w:val="2"/>
          <w:sz w:val="24"/>
          <w:szCs w:val="24"/>
          <w14:ligatures w14:val="standardContextual"/>
        </w:rPr>
        <w:t>Moldova</w:t>
      </w:r>
      <w:r w:rsidRPr="00FF2365">
        <w:rPr>
          <w:rFonts w:ascii="Times New Roman" w:hAnsi="Times New Roman" w:cs="Times New Roman"/>
          <w:kern w:val="2"/>
          <w:sz w:val="24"/>
          <w:szCs w:val="24"/>
          <w:lang w:val="ru-RU"/>
          <w14:ligatures w14:val="standardContextual"/>
        </w:rPr>
        <w:t>», финансируемой Организацией развития предпринимательства (</w:t>
      </w:r>
      <w:r w:rsidRPr="00FF2365">
        <w:rPr>
          <w:rFonts w:ascii="Times New Roman" w:hAnsi="Times New Roman" w:cs="Times New Roman"/>
          <w:kern w:val="2"/>
          <w:sz w:val="24"/>
          <w:szCs w:val="24"/>
          <w14:ligatures w14:val="standardContextual"/>
        </w:rPr>
        <w:t>ODA</w:t>
      </w:r>
      <w:r w:rsidRPr="00FF2365">
        <w:rPr>
          <w:rFonts w:ascii="Times New Roman" w:hAnsi="Times New Roman" w:cs="Times New Roman"/>
          <w:kern w:val="2"/>
          <w:sz w:val="24"/>
          <w:szCs w:val="24"/>
          <w:lang w:val="ru-RU"/>
          <w14:ligatures w14:val="standardContextual"/>
        </w:rPr>
        <w:t>), ежегодно реализуется вспомогательный инструмент для развития сети Бизнес-инкубаторов Молдовы (</w:t>
      </w:r>
      <w:r w:rsidRPr="00FF2365">
        <w:rPr>
          <w:rFonts w:ascii="Times New Roman" w:hAnsi="Times New Roman" w:cs="Times New Roman"/>
          <w:kern w:val="2"/>
          <w:sz w:val="24"/>
          <w:szCs w:val="24"/>
          <w14:ligatures w14:val="standardContextual"/>
        </w:rPr>
        <w:t>RIAM</w:t>
      </w:r>
      <w:r w:rsidRPr="00FF2365">
        <w:rPr>
          <w:rFonts w:ascii="Times New Roman" w:hAnsi="Times New Roman" w:cs="Times New Roman"/>
          <w:kern w:val="2"/>
          <w:sz w:val="24"/>
          <w:szCs w:val="24"/>
          <w:lang w:val="ru-RU"/>
          <w14:ligatures w14:val="standardContextual"/>
        </w:rPr>
        <w:t>).</w:t>
      </w:r>
    </w:p>
    <w:p w:rsidR="003F5D83" w:rsidRPr="00FF2365"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Цель данной программы – улучшение предпринимательской среды и продвижение предпринимательства для обеспечения устойчивого экономического роста малого и среднего бизнеса, посредством обучения, менторства и экспертной поддержки.</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FF2365">
        <w:rPr>
          <w:rFonts w:ascii="Times New Roman" w:hAnsi="Times New Roman" w:cs="Times New Roman"/>
          <w:kern w:val="2"/>
          <w:sz w:val="24"/>
          <w:szCs w:val="24"/>
          <w:lang w:val="ru-RU"/>
          <w14:ligatures w14:val="standardContextual"/>
        </w:rPr>
        <w:t>Посредством вспомогательного инструмента про</w:t>
      </w:r>
      <w:r>
        <w:rPr>
          <w:rFonts w:ascii="Times New Roman" w:hAnsi="Times New Roman" w:cs="Times New Roman"/>
          <w:kern w:val="2"/>
          <w:sz w:val="24"/>
          <w:szCs w:val="24"/>
          <w:lang w:val="ru-RU"/>
          <w14:ligatures w14:val="standardContextual"/>
        </w:rPr>
        <w:t>водится</w:t>
      </w:r>
      <w:r w:rsidRPr="00FF2365">
        <w:rPr>
          <w:rFonts w:ascii="Times New Roman" w:hAnsi="Times New Roman" w:cs="Times New Roman"/>
          <w:kern w:val="2"/>
          <w:sz w:val="24"/>
          <w:szCs w:val="24"/>
          <w:lang w:val="ru-RU"/>
          <w14:ligatures w14:val="standardContextual"/>
        </w:rPr>
        <w:t xml:space="preserve"> курс лекций для развития предпринимательских навыков и отбор потенциальных участников для участия в республиканском марафоне лучших бизнес-идей.</w:t>
      </w:r>
    </w:p>
    <w:p w:rsidR="003F5D83" w:rsidRPr="00DB3DE0"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E6F85">
        <w:rPr>
          <w:rFonts w:ascii="Times New Roman" w:hAnsi="Times New Roman" w:cs="Times New Roman"/>
          <w:b/>
          <w:bCs/>
          <w:i/>
          <w:iCs/>
          <w:kern w:val="2"/>
          <w:sz w:val="24"/>
          <w:szCs w:val="24"/>
          <w:lang w:val="ru-RU"/>
          <w14:ligatures w14:val="standardContextual"/>
        </w:rPr>
        <w:t>«</w:t>
      </w:r>
      <w:proofErr w:type="spellStart"/>
      <w:r w:rsidRPr="006E6F85">
        <w:rPr>
          <w:rFonts w:ascii="Times New Roman" w:hAnsi="Times New Roman" w:cs="Times New Roman"/>
          <w:b/>
          <w:bCs/>
          <w:i/>
          <w:iCs/>
          <w:kern w:val="2"/>
          <w:sz w:val="24"/>
          <w:szCs w:val="24"/>
          <w:lang w:val="ru-RU"/>
          <w14:ligatures w14:val="standardContextual"/>
        </w:rPr>
        <w:t>ИнноЦентр</w:t>
      </w:r>
      <w:proofErr w:type="spellEnd"/>
      <w:r w:rsidRPr="006E6F85">
        <w:rPr>
          <w:rFonts w:ascii="Times New Roman" w:hAnsi="Times New Roman" w:cs="Times New Roman"/>
          <w:b/>
          <w:bCs/>
          <w:i/>
          <w:iCs/>
          <w:kern w:val="2"/>
          <w:sz w:val="24"/>
          <w:szCs w:val="24"/>
          <w:lang w:val="ru-RU"/>
          <w14:ligatures w14:val="standardContextual"/>
        </w:rPr>
        <w:t xml:space="preserve">» при </w:t>
      </w:r>
      <w:proofErr w:type="spellStart"/>
      <w:r w:rsidRPr="006E6F85">
        <w:rPr>
          <w:rFonts w:ascii="Times New Roman" w:hAnsi="Times New Roman" w:cs="Times New Roman"/>
          <w:b/>
          <w:bCs/>
          <w:i/>
          <w:iCs/>
          <w:kern w:val="2"/>
          <w:sz w:val="24"/>
          <w:szCs w:val="24"/>
          <w:lang w:val="ru-RU"/>
          <w14:ligatures w14:val="standardContextual"/>
        </w:rPr>
        <w:t>Комратском</w:t>
      </w:r>
      <w:proofErr w:type="spellEnd"/>
      <w:r w:rsidRPr="006E6F85">
        <w:rPr>
          <w:rFonts w:ascii="Times New Roman" w:hAnsi="Times New Roman" w:cs="Times New Roman"/>
          <w:b/>
          <w:bCs/>
          <w:i/>
          <w:iCs/>
          <w:kern w:val="2"/>
          <w:sz w:val="24"/>
          <w:szCs w:val="24"/>
          <w:lang w:val="ru-RU"/>
          <w14:ligatures w14:val="standardContextual"/>
        </w:rPr>
        <w:t xml:space="preserve"> Госуниверситете</w:t>
      </w:r>
      <w:r>
        <w:rPr>
          <w:rFonts w:ascii="Times New Roman" w:hAnsi="Times New Roman" w:cs="Times New Roman"/>
          <w:b/>
          <w:bCs/>
          <w:i/>
          <w:iCs/>
          <w:kern w:val="2"/>
          <w:sz w:val="24"/>
          <w:szCs w:val="24"/>
          <w:lang w:val="ru-RU"/>
          <w14:ligatures w14:val="standardContextual"/>
        </w:rPr>
        <w:t xml:space="preserve">. </w:t>
      </w:r>
      <w:r w:rsidRPr="00DB3DE0">
        <w:rPr>
          <w:rFonts w:ascii="Times New Roman" w:hAnsi="Times New Roman" w:cs="Times New Roman"/>
          <w:kern w:val="2"/>
          <w:sz w:val="24"/>
          <w:szCs w:val="24"/>
          <w:lang w:val="ru-RU"/>
          <w14:ligatures w14:val="standardContextual"/>
        </w:rPr>
        <w:t xml:space="preserve">Инновационная инфраструктура региона представлена, в том числе, инновационным инкубатором «Инно-Центр», созданным при </w:t>
      </w:r>
      <w:proofErr w:type="spellStart"/>
      <w:r w:rsidRPr="00DB3DE0">
        <w:rPr>
          <w:rFonts w:ascii="Times New Roman" w:hAnsi="Times New Roman" w:cs="Times New Roman"/>
          <w:kern w:val="2"/>
          <w:sz w:val="24"/>
          <w:szCs w:val="24"/>
          <w:lang w:val="ru-RU"/>
          <w14:ligatures w14:val="standardContextual"/>
        </w:rPr>
        <w:t>Комратском</w:t>
      </w:r>
      <w:proofErr w:type="spellEnd"/>
      <w:r w:rsidRPr="00DB3DE0">
        <w:rPr>
          <w:rFonts w:ascii="Times New Roman" w:hAnsi="Times New Roman" w:cs="Times New Roman"/>
          <w:kern w:val="2"/>
          <w:sz w:val="24"/>
          <w:szCs w:val="24"/>
          <w:lang w:val="ru-RU"/>
          <w14:ligatures w14:val="standardContextual"/>
        </w:rPr>
        <w:t xml:space="preserve"> государственном университете в 2012 году. Его деятельность направлена на повышение конкурентоспособности АТО Гагаузия за счёт развития малого и среднего бизнеса, передачи технологий и установления деловых связей с потенциальными инвесторами.</w:t>
      </w:r>
    </w:p>
    <w:p w:rsidR="003F5D83" w:rsidRPr="00DB3DE0"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DB3DE0">
        <w:rPr>
          <w:rFonts w:ascii="Times New Roman" w:hAnsi="Times New Roman" w:cs="Times New Roman"/>
          <w:kern w:val="2"/>
          <w:sz w:val="24"/>
          <w:szCs w:val="24"/>
          <w:lang w:val="ru-RU"/>
          <w14:ligatures w14:val="standardContextual"/>
        </w:rPr>
        <w:lastRenderedPageBreak/>
        <w:t>Функционирование Инно-Центра создает дополнительные возможности для экономического развития региона, обеспечивая взаимодействие между научным сектором, инновационными предприятиями и промышленностью. Центр способствует внедрению инноваций, развитию предпринимательских инициатив, а также повышению уровня технологической оснащённости бизнеса.</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DB3DE0">
        <w:rPr>
          <w:rFonts w:ascii="Times New Roman" w:hAnsi="Times New Roman" w:cs="Times New Roman"/>
          <w:kern w:val="2"/>
          <w:sz w:val="24"/>
          <w:szCs w:val="24"/>
          <w:lang w:val="ru-RU"/>
          <w14:ligatures w14:val="standardContextual"/>
        </w:rPr>
        <w:t>Кроме того, через участие в образовательных, научных и международных проектах Инно-Центр способствует формированию инновационной среды, развитию человеческого капитала и поддержке перспективных направлений, таких как цифровизация и устойчивый туризм.</w:t>
      </w:r>
    </w:p>
    <w:p w:rsidR="003F5D83" w:rsidRPr="003C25D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B4537E">
        <w:rPr>
          <w:rFonts w:ascii="Times New Roman" w:hAnsi="Times New Roman" w:cs="Times New Roman"/>
          <w:b/>
          <w:bCs/>
          <w:i/>
          <w:kern w:val="2"/>
          <w:sz w:val="24"/>
          <w:szCs w:val="24"/>
          <w:lang w:val="ru-RU"/>
          <w14:ligatures w14:val="standardContextual"/>
        </w:rPr>
        <w:t>ТПП филиал в АТО Гагаузия</w:t>
      </w:r>
      <w:r w:rsidRPr="00943FB5">
        <w:rPr>
          <w:rFonts w:ascii="Times New Roman" w:hAnsi="Times New Roman" w:cs="Times New Roman"/>
          <w:b/>
          <w:bCs/>
          <w:kern w:val="2"/>
          <w:sz w:val="24"/>
          <w:szCs w:val="24"/>
          <w:lang w:val="ru-RU"/>
          <w14:ligatures w14:val="standardContextual"/>
        </w:rPr>
        <w:t xml:space="preserve">. </w:t>
      </w:r>
      <w:r w:rsidRPr="003C25D2">
        <w:rPr>
          <w:rFonts w:ascii="Times New Roman" w:hAnsi="Times New Roman" w:cs="Times New Roman"/>
          <w:kern w:val="2"/>
          <w:sz w:val="24"/>
          <w:szCs w:val="24"/>
          <w:lang w:val="ru-RU"/>
          <w14:ligatures w14:val="standardContextual"/>
        </w:rPr>
        <w:t xml:space="preserve">Торгово-промышленная палата Республики Молдова, филиал в АТО Гагаузия, является важным элементом институциональной поддержки бизнеса и формирования благоприятной предпринимательской среды. Созданная в 1996 году, на сегодняшний день она </w:t>
      </w:r>
      <w:r w:rsidRPr="00056883">
        <w:rPr>
          <w:rFonts w:ascii="Times New Roman" w:hAnsi="Times New Roman" w:cs="Times New Roman"/>
          <w:kern w:val="2"/>
          <w:sz w:val="24"/>
          <w:szCs w:val="24"/>
          <w:lang w:val="ru-RU"/>
          <w14:ligatures w14:val="standardContextual"/>
        </w:rPr>
        <w:t xml:space="preserve">объединяет </w:t>
      </w:r>
      <w:r>
        <w:rPr>
          <w:rFonts w:ascii="Times New Roman" w:hAnsi="Times New Roman" w:cs="Times New Roman"/>
          <w:kern w:val="2"/>
          <w:sz w:val="24"/>
          <w:szCs w:val="24"/>
          <w:lang w:val="ru-RU"/>
          <w14:ligatures w14:val="standardContextual"/>
        </w:rPr>
        <w:t>более 100</w:t>
      </w:r>
      <w:r w:rsidRPr="00056883">
        <w:rPr>
          <w:rFonts w:ascii="Times New Roman" w:hAnsi="Times New Roman" w:cs="Times New Roman"/>
          <w:kern w:val="2"/>
          <w:sz w:val="24"/>
          <w:szCs w:val="24"/>
          <w:lang w:val="ru-RU"/>
          <w14:ligatures w14:val="standardContextual"/>
        </w:rPr>
        <w:t xml:space="preserve"> экономических агент</w:t>
      </w:r>
      <w:r>
        <w:rPr>
          <w:rFonts w:ascii="Times New Roman" w:hAnsi="Times New Roman" w:cs="Times New Roman"/>
          <w:kern w:val="2"/>
          <w:sz w:val="24"/>
          <w:szCs w:val="24"/>
          <w:lang w:val="ru-RU"/>
          <w14:ligatures w14:val="standardContextual"/>
        </w:rPr>
        <w:t>ов</w:t>
      </w:r>
      <w:r w:rsidRPr="003C25D2">
        <w:rPr>
          <w:rFonts w:ascii="Times New Roman" w:hAnsi="Times New Roman" w:cs="Times New Roman"/>
          <w:kern w:val="2"/>
          <w:sz w:val="24"/>
          <w:szCs w:val="24"/>
          <w:lang w:val="ru-RU"/>
          <w14:ligatures w14:val="standardContextual"/>
        </w:rPr>
        <w:t xml:space="preserve"> региона, предоставляя им доступ к консультационным услугам, информационной поддержке и различным льготам, что способствует развитию деловой активности.</w:t>
      </w:r>
    </w:p>
    <w:p w:rsidR="003F5D83" w:rsidRPr="003C25D2"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C25D2">
        <w:rPr>
          <w:rFonts w:ascii="Times New Roman" w:hAnsi="Times New Roman" w:cs="Times New Roman"/>
          <w:kern w:val="2"/>
          <w:sz w:val="24"/>
          <w:szCs w:val="24"/>
          <w:lang w:val="ru-RU"/>
          <w14:ligatures w14:val="standardContextual"/>
        </w:rPr>
        <w:t>Постоянное расширение членской базы, в том числе за счёт ежегодного вступления 3–4 средних предприятий, свидетельствует о востребованности данной институции и её роли в укреплении предпринимательского сектора региона.</w:t>
      </w:r>
    </w:p>
    <w:p w:rsidR="003F5D83" w:rsidRPr="0042339B"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3C25D2">
        <w:rPr>
          <w:rFonts w:ascii="Times New Roman" w:hAnsi="Times New Roman" w:cs="Times New Roman"/>
          <w:kern w:val="2"/>
          <w:sz w:val="24"/>
          <w:szCs w:val="24"/>
          <w:lang w:val="ru-RU"/>
          <w14:ligatures w14:val="standardContextual"/>
        </w:rPr>
        <w:t>Дополнительные возможности для экономического роста создаёт Центр делового образования, функционирующий с 2008 года. Его деятельность направлена на повышение квалификации и переподготовку кадров, развитие предпринимательских компетенций и улучшение качества управления бизнесом.</w:t>
      </w:r>
    </w:p>
    <w:p w:rsidR="003F5D83" w:rsidRPr="00824A86" w:rsidRDefault="003F5D83" w:rsidP="003F5D83">
      <w:pPr>
        <w:spacing w:after="0" w:line="240" w:lineRule="auto"/>
        <w:jc w:val="both"/>
        <w:rPr>
          <w:rFonts w:ascii="Times New Roman" w:hAnsi="Times New Roman" w:cs="Times New Roman"/>
          <w:kern w:val="2"/>
          <w:sz w:val="24"/>
          <w:szCs w:val="24"/>
          <w:lang w:val="ru-RU"/>
          <w14:ligatures w14:val="standardContextual"/>
        </w:rPr>
      </w:pPr>
    </w:p>
    <w:p w:rsidR="00B4537E" w:rsidRDefault="003F5D83" w:rsidP="003F5D83">
      <w:pPr>
        <w:spacing w:after="0" w:line="240" w:lineRule="auto"/>
        <w:jc w:val="both"/>
        <w:rPr>
          <w:rFonts w:ascii="Times New Roman" w:eastAsia="Times New Roman" w:hAnsi="Times New Roman" w:cs="Times New Roman"/>
          <w:b/>
          <w:bCs/>
          <w:sz w:val="24"/>
          <w:szCs w:val="24"/>
          <w:lang w:val="ru-RU"/>
        </w:rPr>
      </w:pPr>
      <w:r w:rsidRPr="008269EC">
        <w:rPr>
          <w:rFonts w:ascii="Times New Roman" w:eastAsia="Times New Roman" w:hAnsi="Times New Roman" w:cs="Times New Roman"/>
          <w:b/>
          <w:bCs/>
          <w:sz w:val="24"/>
          <w:szCs w:val="24"/>
          <w:lang w:val="ru-RU"/>
        </w:rPr>
        <w:t>2.4. Развитие инфраструктуры</w:t>
      </w:r>
    </w:p>
    <w:p w:rsidR="003F5D83" w:rsidRDefault="003F5D83" w:rsidP="003F5D83">
      <w:pPr>
        <w:spacing w:after="0" w:line="240" w:lineRule="auto"/>
        <w:jc w:val="both"/>
        <w:rPr>
          <w:rFonts w:ascii="Times New Roman" w:eastAsia="Times New Roman" w:hAnsi="Times New Roman" w:cs="Times New Roman"/>
          <w:b/>
          <w:bCs/>
          <w:sz w:val="24"/>
          <w:szCs w:val="24"/>
          <w:lang w:val="ru-RU"/>
        </w:rPr>
      </w:pPr>
      <w:r w:rsidRPr="008269EC">
        <w:rPr>
          <w:rFonts w:ascii="Times New Roman" w:eastAsia="Times New Roman" w:hAnsi="Times New Roman" w:cs="Times New Roman"/>
          <w:b/>
          <w:bCs/>
          <w:sz w:val="24"/>
          <w:szCs w:val="24"/>
          <w:lang w:val="ru-RU"/>
        </w:rPr>
        <w:t xml:space="preserve"> </w:t>
      </w:r>
    </w:p>
    <w:p w:rsidR="003F5D83" w:rsidRDefault="00B4537E" w:rsidP="003F5D83">
      <w:p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Система</w:t>
      </w:r>
      <w:r w:rsidR="003F5D83">
        <w:rPr>
          <w:rFonts w:ascii="Times New Roman" w:eastAsia="Times New Roman" w:hAnsi="Times New Roman" w:cs="Times New Roman"/>
          <w:b/>
          <w:bCs/>
          <w:sz w:val="24"/>
          <w:szCs w:val="24"/>
          <w:lang w:val="ru-RU"/>
        </w:rPr>
        <w:t xml:space="preserve"> водоснабжения</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Уровень развития инфраструктуры оказывает существенное влияние на условия проживания населения, инвестиционную привлекательность и устойчивость регионального развития. В этой связи целесообразно рассмотреть основные показатели инфраструктурной обеспеченности по регионам Республики Молдова, представленные</w:t>
      </w:r>
      <w:r w:rsidRPr="000C2BE6">
        <w:rPr>
          <w:rFonts w:ascii="Arial" w:hAnsi="Arial" w:cs="Arial"/>
          <w:kern w:val="2"/>
          <w:sz w:val="20"/>
          <w:szCs w:val="20"/>
          <w:lang w:val="ru-RU"/>
          <w14:ligatures w14:val="standardContextual"/>
        </w:rPr>
        <w:t xml:space="preserve"> </w:t>
      </w:r>
      <w:r w:rsidRPr="000C2BE6">
        <w:rPr>
          <w:rFonts w:ascii="Times New Roman" w:hAnsi="Times New Roman" w:cs="Times New Roman"/>
          <w:kern w:val="2"/>
          <w:sz w:val="24"/>
          <w:szCs w:val="24"/>
          <w:lang w:val="ru-RU"/>
          <w14:ligatures w14:val="standardContextual"/>
        </w:rPr>
        <w:t xml:space="preserve">в таблице </w:t>
      </w:r>
      <w:r>
        <w:rPr>
          <w:rFonts w:ascii="Times New Roman" w:hAnsi="Times New Roman" w:cs="Times New Roman"/>
          <w:kern w:val="2"/>
          <w:sz w:val="24"/>
          <w:szCs w:val="24"/>
          <w:lang w:val="ru-RU"/>
          <w14:ligatures w14:val="standardContextual"/>
        </w:rPr>
        <w:t>2.</w:t>
      </w:r>
      <w:r w:rsidRPr="000C2BE6">
        <w:rPr>
          <w:rFonts w:ascii="Times New Roman" w:hAnsi="Times New Roman" w:cs="Times New Roman"/>
          <w:kern w:val="2"/>
          <w:sz w:val="24"/>
          <w:szCs w:val="24"/>
          <w:lang w:val="ru-RU"/>
          <w14:ligatures w14:val="standardContextual"/>
        </w:rPr>
        <w:t xml:space="preserve">17. </w:t>
      </w:r>
    </w:p>
    <w:p w:rsidR="00AB68D4" w:rsidRPr="000C2BE6" w:rsidRDefault="00AB68D4"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2.17</w:t>
      </w:r>
      <w:r w:rsidRPr="000C2BE6">
        <w:rPr>
          <w:rFonts w:ascii="Times New Roman" w:hAnsi="Times New Roman" w:cs="Times New Roman"/>
          <w:b/>
          <w:bCs/>
          <w:kern w:val="2"/>
          <w:sz w:val="24"/>
          <w:szCs w:val="24"/>
          <w:lang w:val="ru-RU"/>
          <w14:ligatures w14:val="standardContextual"/>
        </w:rPr>
        <w:t xml:space="preserve"> Количество функционирующих систем публичного водоснабжения по регионам Республики Молдова в 2019–2024 гг., ед.</w:t>
      </w:r>
    </w:p>
    <w:p w:rsidR="00C77DDC" w:rsidRPr="000C2BE6" w:rsidRDefault="00C77DDC"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93" w:type="dxa"/>
        <w:tblLook w:val="04A0" w:firstRow="1" w:lastRow="0" w:firstColumn="1" w:lastColumn="0" w:noHBand="0" w:noVBand="1"/>
      </w:tblPr>
      <w:tblGrid>
        <w:gridCol w:w="2986"/>
        <w:gridCol w:w="1566"/>
        <w:gridCol w:w="1282"/>
        <w:gridCol w:w="1139"/>
        <w:gridCol w:w="1424"/>
        <w:gridCol w:w="996"/>
      </w:tblGrid>
      <w:tr w:rsidR="003F5D83" w:rsidRPr="000C2BE6" w:rsidTr="00B4537E">
        <w:trPr>
          <w:trHeight w:val="429"/>
        </w:trPr>
        <w:tc>
          <w:tcPr>
            <w:tcW w:w="2986" w:type="dxa"/>
            <w:tcBorders>
              <w:top w:val="single" w:sz="4" w:space="0" w:color="auto"/>
              <w:left w:val="single" w:sz="4" w:space="0" w:color="auto"/>
              <w:bottom w:val="single" w:sz="4" w:space="0" w:color="auto"/>
              <w:right w:val="single" w:sz="4" w:space="0" w:color="auto"/>
            </w:tcBorders>
            <w:vAlign w:val="center"/>
            <w:hideMark/>
          </w:tcPr>
          <w:p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lang w:val="ru-RU"/>
              </w:rPr>
              <w:t>Регион</w:t>
            </w:r>
            <w:r w:rsidRPr="000C2BE6">
              <w:rPr>
                <w:rFonts w:ascii="Times New Roman" w:eastAsia="Times New Roman" w:hAnsi="Times New Roman" w:cs="Times New Roman"/>
                <w:b/>
                <w:bCs/>
                <w:sz w:val="24"/>
                <w:szCs w:val="24"/>
              </w:rPr>
              <w:t> </w:t>
            </w:r>
          </w:p>
        </w:tc>
        <w:tc>
          <w:tcPr>
            <w:tcW w:w="1566" w:type="dxa"/>
            <w:tcBorders>
              <w:top w:val="single" w:sz="4" w:space="0" w:color="auto"/>
              <w:left w:val="nil"/>
              <w:bottom w:val="single" w:sz="4" w:space="0" w:color="auto"/>
              <w:right w:val="single" w:sz="4" w:space="0" w:color="auto"/>
            </w:tcBorders>
            <w:vAlign w:val="center"/>
            <w:hideMark/>
          </w:tcPr>
          <w:p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2020</w:t>
            </w:r>
          </w:p>
        </w:tc>
        <w:tc>
          <w:tcPr>
            <w:tcW w:w="1282" w:type="dxa"/>
            <w:tcBorders>
              <w:top w:val="single" w:sz="4" w:space="0" w:color="auto"/>
              <w:left w:val="nil"/>
              <w:bottom w:val="single" w:sz="4" w:space="0" w:color="auto"/>
              <w:right w:val="single" w:sz="4" w:space="0" w:color="auto"/>
            </w:tcBorders>
            <w:vAlign w:val="center"/>
            <w:hideMark/>
          </w:tcPr>
          <w:p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2021</w:t>
            </w:r>
          </w:p>
        </w:tc>
        <w:tc>
          <w:tcPr>
            <w:tcW w:w="1139" w:type="dxa"/>
            <w:tcBorders>
              <w:top w:val="single" w:sz="4" w:space="0" w:color="auto"/>
              <w:left w:val="nil"/>
              <w:bottom w:val="single" w:sz="4" w:space="0" w:color="auto"/>
              <w:right w:val="single" w:sz="4" w:space="0" w:color="auto"/>
            </w:tcBorders>
            <w:vAlign w:val="center"/>
            <w:hideMark/>
          </w:tcPr>
          <w:p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2022</w:t>
            </w:r>
          </w:p>
        </w:tc>
        <w:tc>
          <w:tcPr>
            <w:tcW w:w="1424" w:type="dxa"/>
            <w:tcBorders>
              <w:top w:val="single" w:sz="4" w:space="0" w:color="auto"/>
              <w:left w:val="nil"/>
              <w:bottom w:val="single" w:sz="4" w:space="0" w:color="auto"/>
              <w:right w:val="single" w:sz="4" w:space="0" w:color="auto"/>
            </w:tcBorders>
            <w:vAlign w:val="center"/>
            <w:hideMark/>
          </w:tcPr>
          <w:p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2023</w:t>
            </w:r>
          </w:p>
        </w:tc>
        <w:tc>
          <w:tcPr>
            <w:tcW w:w="996" w:type="dxa"/>
            <w:tcBorders>
              <w:top w:val="single" w:sz="4" w:space="0" w:color="auto"/>
              <w:left w:val="nil"/>
              <w:bottom w:val="single" w:sz="4" w:space="0" w:color="auto"/>
              <w:right w:val="single" w:sz="4" w:space="0" w:color="auto"/>
            </w:tcBorders>
            <w:vAlign w:val="center"/>
            <w:hideMark/>
          </w:tcPr>
          <w:p w:rsidR="003F5D83" w:rsidRPr="000C2BE6" w:rsidRDefault="003F5D83" w:rsidP="00B4537E">
            <w:pPr>
              <w:spacing w:after="0" w:line="240" w:lineRule="auto"/>
              <w:rPr>
                <w:rFonts w:ascii="Times New Roman" w:eastAsia="Times New Roman" w:hAnsi="Times New Roman" w:cs="Times New Roman"/>
                <w:b/>
                <w:bCs/>
                <w:sz w:val="24"/>
                <w:szCs w:val="24"/>
              </w:rPr>
            </w:pPr>
            <w:r w:rsidRPr="000C2BE6">
              <w:rPr>
                <w:rFonts w:ascii="Times New Roman" w:eastAsia="Times New Roman" w:hAnsi="Times New Roman" w:cs="Times New Roman"/>
                <w:b/>
                <w:bCs/>
                <w:sz w:val="24"/>
                <w:szCs w:val="24"/>
              </w:rPr>
              <w:t>2024</w:t>
            </w:r>
          </w:p>
        </w:tc>
      </w:tr>
      <w:tr w:rsidR="003F5D83" w:rsidRPr="000C2BE6" w:rsidTr="00B4537E">
        <w:trPr>
          <w:trHeight w:val="359"/>
        </w:trPr>
        <w:tc>
          <w:tcPr>
            <w:tcW w:w="2986" w:type="dxa"/>
            <w:tcBorders>
              <w:top w:val="nil"/>
              <w:left w:val="single" w:sz="4" w:space="0" w:color="auto"/>
              <w:bottom w:val="single" w:sz="4" w:space="0" w:color="auto"/>
              <w:right w:val="single" w:sz="4" w:space="0" w:color="auto"/>
            </w:tcBorders>
            <w:vAlign w:val="center"/>
            <w:hideMark/>
          </w:tcPr>
          <w:p w:rsidR="003F5D83" w:rsidRPr="000C2BE6" w:rsidRDefault="003F5D83" w:rsidP="003F5D83">
            <w:pPr>
              <w:spacing w:after="0" w:line="240" w:lineRule="auto"/>
              <w:rPr>
                <w:rFonts w:ascii="Times New Roman" w:eastAsia="Times New Roman" w:hAnsi="Times New Roman" w:cs="Times New Roman"/>
                <w:sz w:val="24"/>
                <w:szCs w:val="24"/>
                <w:lang w:val="ru-RU"/>
              </w:rPr>
            </w:pPr>
            <w:r w:rsidRPr="000C2BE6">
              <w:rPr>
                <w:rFonts w:ascii="Times New Roman" w:eastAsia="Times New Roman" w:hAnsi="Times New Roman" w:cs="Times New Roman"/>
                <w:sz w:val="24"/>
                <w:szCs w:val="24"/>
                <w:lang w:val="ru-RU"/>
              </w:rPr>
              <w:t xml:space="preserve">Всего по стране </w:t>
            </w:r>
          </w:p>
        </w:tc>
        <w:tc>
          <w:tcPr>
            <w:tcW w:w="156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1235</w:t>
            </w:r>
          </w:p>
        </w:tc>
        <w:tc>
          <w:tcPr>
            <w:tcW w:w="1282"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1290</w:t>
            </w:r>
          </w:p>
        </w:tc>
        <w:tc>
          <w:tcPr>
            <w:tcW w:w="1139"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1319</w:t>
            </w:r>
          </w:p>
        </w:tc>
        <w:tc>
          <w:tcPr>
            <w:tcW w:w="1424"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1358</w:t>
            </w:r>
          </w:p>
        </w:tc>
        <w:tc>
          <w:tcPr>
            <w:tcW w:w="99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1397</w:t>
            </w:r>
          </w:p>
        </w:tc>
      </w:tr>
      <w:tr w:rsidR="003F5D83" w:rsidRPr="000C2BE6" w:rsidTr="00B4537E">
        <w:trPr>
          <w:trHeight w:val="345"/>
        </w:trPr>
        <w:tc>
          <w:tcPr>
            <w:tcW w:w="2986" w:type="dxa"/>
            <w:tcBorders>
              <w:top w:val="nil"/>
              <w:left w:val="single" w:sz="4" w:space="0" w:color="auto"/>
              <w:bottom w:val="single" w:sz="4" w:space="0" w:color="auto"/>
              <w:right w:val="single" w:sz="4" w:space="0" w:color="auto"/>
            </w:tcBorders>
            <w:vAlign w:val="center"/>
            <w:hideMark/>
          </w:tcPr>
          <w:p w:rsidR="003F5D83" w:rsidRPr="000C2BE6" w:rsidRDefault="00C77DDC" w:rsidP="003F5D83">
            <w:pPr>
              <w:spacing w:after="0" w:line="240" w:lineRule="auto"/>
              <w:ind w:firstLineChars="15" w:firstLine="36"/>
              <w:rPr>
                <w:rFonts w:ascii="Times New Roman" w:eastAsia="Times New Roman" w:hAnsi="Times New Roman" w:cs="Times New Roman"/>
                <w:sz w:val="24"/>
                <w:szCs w:val="24"/>
              </w:rPr>
            </w:pPr>
            <w:r>
              <w:rPr>
                <w:rFonts w:ascii="Times New Roman" w:hAnsi="Times New Roman" w:cs="Times New Roman"/>
                <w:kern w:val="2"/>
                <w:sz w:val="24"/>
                <w:szCs w:val="24"/>
                <w14:ligatures w14:val="standardContextual"/>
              </w:rPr>
              <w:t xml:space="preserve">РР </w:t>
            </w:r>
            <w:proofErr w:type="spellStart"/>
            <w:r>
              <w:rPr>
                <w:rFonts w:ascii="Times New Roman" w:hAnsi="Times New Roman" w:cs="Times New Roman"/>
                <w:kern w:val="2"/>
                <w:sz w:val="24"/>
                <w:szCs w:val="24"/>
                <w14:ligatures w14:val="standardContextual"/>
              </w:rPr>
              <w:t>Кишинё</w:t>
            </w:r>
            <w:r w:rsidR="003F5D83" w:rsidRPr="000C2BE6">
              <w:rPr>
                <w:rFonts w:ascii="Times New Roman" w:hAnsi="Times New Roman" w:cs="Times New Roman"/>
                <w:kern w:val="2"/>
                <w:sz w:val="24"/>
                <w:szCs w:val="24"/>
                <w14:ligatures w14:val="standardContextual"/>
              </w:rPr>
              <w:t>в</w:t>
            </w:r>
            <w:proofErr w:type="spellEnd"/>
          </w:p>
        </w:tc>
        <w:tc>
          <w:tcPr>
            <w:tcW w:w="156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14</w:t>
            </w:r>
          </w:p>
        </w:tc>
        <w:tc>
          <w:tcPr>
            <w:tcW w:w="1282"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15</w:t>
            </w:r>
          </w:p>
        </w:tc>
        <w:tc>
          <w:tcPr>
            <w:tcW w:w="1139"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16</w:t>
            </w:r>
          </w:p>
        </w:tc>
        <w:tc>
          <w:tcPr>
            <w:tcW w:w="1424"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16</w:t>
            </w:r>
          </w:p>
        </w:tc>
        <w:tc>
          <w:tcPr>
            <w:tcW w:w="99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16</w:t>
            </w:r>
          </w:p>
        </w:tc>
      </w:tr>
      <w:tr w:rsidR="003F5D83" w:rsidRPr="000C2BE6" w:rsidTr="00B4537E">
        <w:trPr>
          <w:trHeight w:val="345"/>
        </w:trPr>
        <w:tc>
          <w:tcPr>
            <w:tcW w:w="2986" w:type="dxa"/>
            <w:tcBorders>
              <w:top w:val="nil"/>
              <w:left w:val="single" w:sz="4" w:space="0" w:color="auto"/>
              <w:bottom w:val="single" w:sz="4" w:space="0" w:color="auto"/>
              <w:right w:val="single" w:sz="4" w:space="0" w:color="auto"/>
            </w:tcBorders>
            <w:vAlign w:val="center"/>
            <w:hideMark/>
          </w:tcPr>
          <w:p w:rsidR="003F5D83" w:rsidRPr="000C2BE6" w:rsidRDefault="003F5D83" w:rsidP="003F5D83">
            <w:pPr>
              <w:spacing w:after="0" w:line="240" w:lineRule="auto"/>
              <w:ind w:firstLineChars="15" w:firstLine="36"/>
              <w:rPr>
                <w:rFonts w:ascii="Times New Roman" w:eastAsia="Times New Roman" w:hAnsi="Times New Roman" w:cs="Times New Roman"/>
                <w:sz w:val="24"/>
                <w:szCs w:val="24"/>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Север</w:t>
            </w:r>
            <w:proofErr w:type="spellEnd"/>
          </w:p>
        </w:tc>
        <w:tc>
          <w:tcPr>
            <w:tcW w:w="156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289</w:t>
            </w:r>
          </w:p>
        </w:tc>
        <w:tc>
          <w:tcPr>
            <w:tcW w:w="1282"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307</w:t>
            </w:r>
          </w:p>
        </w:tc>
        <w:tc>
          <w:tcPr>
            <w:tcW w:w="1139"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318</w:t>
            </w:r>
          </w:p>
        </w:tc>
        <w:tc>
          <w:tcPr>
            <w:tcW w:w="1424"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348</w:t>
            </w:r>
          </w:p>
        </w:tc>
        <w:tc>
          <w:tcPr>
            <w:tcW w:w="99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370</w:t>
            </w:r>
          </w:p>
        </w:tc>
      </w:tr>
      <w:tr w:rsidR="003F5D83" w:rsidRPr="000C2BE6" w:rsidTr="00B4537E">
        <w:trPr>
          <w:trHeight w:val="345"/>
        </w:trPr>
        <w:tc>
          <w:tcPr>
            <w:tcW w:w="2986" w:type="dxa"/>
            <w:tcBorders>
              <w:top w:val="nil"/>
              <w:left w:val="single" w:sz="4" w:space="0" w:color="auto"/>
              <w:bottom w:val="single" w:sz="4" w:space="0" w:color="auto"/>
              <w:right w:val="single" w:sz="4" w:space="0" w:color="auto"/>
            </w:tcBorders>
            <w:vAlign w:val="center"/>
            <w:hideMark/>
          </w:tcPr>
          <w:p w:rsidR="003F5D83" w:rsidRPr="000C2BE6" w:rsidRDefault="003F5D83" w:rsidP="003F5D83">
            <w:pPr>
              <w:spacing w:after="0" w:line="240" w:lineRule="auto"/>
              <w:ind w:firstLineChars="15" w:firstLine="36"/>
              <w:rPr>
                <w:rFonts w:ascii="Times New Roman" w:eastAsia="Times New Roman" w:hAnsi="Times New Roman" w:cs="Times New Roman"/>
                <w:sz w:val="24"/>
                <w:szCs w:val="24"/>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Центр</w:t>
            </w:r>
            <w:proofErr w:type="spellEnd"/>
          </w:p>
        </w:tc>
        <w:tc>
          <w:tcPr>
            <w:tcW w:w="156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590</w:t>
            </w:r>
          </w:p>
        </w:tc>
        <w:tc>
          <w:tcPr>
            <w:tcW w:w="1282"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609</w:t>
            </w:r>
          </w:p>
        </w:tc>
        <w:tc>
          <w:tcPr>
            <w:tcW w:w="1139"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628</w:t>
            </w:r>
          </w:p>
        </w:tc>
        <w:tc>
          <w:tcPr>
            <w:tcW w:w="1424"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638</w:t>
            </w:r>
          </w:p>
        </w:tc>
        <w:tc>
          <w:tcPr>
            <w:tcW w:w="99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648</w:t>
            </w:r>
          </w:p>
        </w:tc>
      </w:tr>
      <w:tr w:rsidR="003F5D83" w:rsidRPr="000C2BE6" w:rsidTr="00B4537E">
        <w:trPr>
          <w:trHeight w:val="345"/>
        </w:trPr>
        <w:tc>
          <w:tcPr>
            <w:tcW w:w="2986" w:type="dxa"/>
            <w:tcBorders>
              <w:top w:val="nil"/>
              <w:left w:val="single" w:sz="4" w:space="0" w:color="auto"/>
              <w:bottom w:val="single" w:sz="4" w:space="0" w:color="auto"/>
              <w:right w:val="single" w:sz="4" w:space="0" w:color="auto"/>
            </w:tcBorders>
            <w:vAlign w:val="center"/>
            <w:hideMark/>
          </w:tcPr>
          <w:p w:rsidR="003F5D83" w:rsidRPr="000C2BE6" w:rsidRDefault="003F5D83" w:rsidP="003F5D83">
            <w:pPr>
              <w:spacing w:after="0" w:line="240" w:lineRule="auto"/>
              <w:ind w:firstLineChars="15" w:firstLine="36"/>
              <w:rPr>
                <w:rFonts w:ascii="Times New Roman" w:eastAsia="Times New Roman" w:hAnsi="Times New Roman" w:cs="Times New Roman"/>
                <w:sz w:val="24"/>
                <w:szCs w:val="24"/>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Юг</w:t>
            </w:r>
            <w:proofErr w:type="spellEnd"/>
          </w:p>
        </w:tc>
        <w:tc>
          <w:tcPr>
            <w:tcW w:w="156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302</w:t>
            </w:r>
          </w:p>
        </w:tc>
        <w:tc>
          <w:tcPr>
            <w:tcW w:w="1282"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321</w:t>
            </w:r>
          </w:p>
        </w:tc>
        <w:tc>
          <w:tcPr>
            <w:tcW w:w="1139"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319</w:t>
            </w:r>
          </w:p>
        </w:tc>
        <w:tc>
          <w:tcPr>
            <w:tcW w:w="1424"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318</w:t>
            </w:r>
          </w:p>
        </w:tc>
        <w:tc>
          <w:tcPr>
            <w:tcW w:w="99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325</w:t>
            </w:r>
          </w:p>
        </w:tc>
      </w:tr>
      <w:tr w:rsidR="003F5D83" w:rsidRPr="000C2BE6" w:rsidTr="00B4537E">
        <w:trPr>
          <w:trHeight w:val="345"/>
        </w:trPr>
        <w:tc>
          <w:tcPr>
            <w:tcW w:w="2986" w:type="dxa"/>
            <w:tcBorders>
              <w:top w:val="nil"/>
              <w:left w:val="single" w:sz="4" w:space="0" w:color="auto"/>
              <w:bottom w:val="single" w:sz="4" w:space="0" w:color="auto"/>
              <w:right w:val="single" w:sz="4" w:space="0" w:color="auto"/>
            </w:tcBorders>
            <w:vAlign w:val="center"/>
            <w:hideMark/>
          </w:tcPr>
          <w:p w:rsidR="003F5D83" w:rsidRPr="000C2BE6" w:rsidRDefault="003F5D83" w:rsidP="003F5D83">
            <w:pPr>
              <w:spacing w:after="0" w:line="240" w:lineRule="auto"/>
              <w:ind w:firstLineChars="15" w:firstLine="36"/>
              <w:rPr>
                <w:rFonts w:ascii="Times New Roman" w:eastAsia="Times New Roman" w:hAnsi="Times New Roman" w:cs="Times New Roman"/>
                <w:sz w:val="24"/>
                <w:szCs w:val="24"/>
              </w:rPr>
            </w:pPr>
            <w:r w:rsidRPr="000C2BE6">
              <w:rPr>
                <w:rFonts w:ascii="Times New Roman" w:hAnsi="Times New Roman" w:cs="Times New Roman"/>
                <w:kern w:val="2"/>
                <w:sz w:val="24"/>
                <w:szCs w:val="24"/>
                <w14:ligatures w14:val="standardContextual"/>
              </w:rPr>
              <w:t xml:space="preserve">РР АТО </w:t>
            </w:r>
            <w:proofErr w:type="spellStart"/>
            <w:r w:rsidRPr="000C2BE6">
              <w:rPr>
                <w:rFonts w:ascii="Times New Roman" w:hAnsi="Times New Roman" w:cs="Times New Roman"/>
                <w:kern w:val="2"/>
                <w:sz w:val="24"/>
                <w:szCs w:val="24"/>
                <w14:ligatures w14:val="standardContextual"/>
              </w:rPr>
              <w:t>Гагаузия</w:t>
            </w:r>
            <w:proofErr w:type="spellEnd"/>
          </w:p>
        </w:tc>
        <w:tc>
          <w:tcPr>
            <w:tcW w:w="156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40</w:t>
            </w:r>
          </w:p>
        </w:tc>
        <w:tc>
          <w:tcPr>
            <w:tcW w:w="1282"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38</w:t>
            </w:r>
          </w:p>
        </w:tc>
        <w:tc>
          <w:tcPr>
            <w:tcW w:w="1139"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38</w:t>
            </w:r>
          </w:p>
        </w:tc>
        <w:tc>
          <w:tcPr>
            <w:tcW w:w="1424"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38</w:t>
            </w:r>
          </w:p>
        </w:tc>
        <w:tc>
          <w:tcPr>
            <w:tcW w:w="996" w:type="dxa"/>
            <w:tcBorders>
              <w:top w:val="nil"/>
              <w:left w:val="nil"/>
              <w:bottom w:val="single" w:sz="4" w:space="0" w:color="auto"/>
              <w:right w:val="single" w:sz="4" w:space="0" w:color="auto"/>
            </w:tcBorders>
            <w:noWrap/>
            <w:vAlign w:val="bottom"/>
            <w:hideMark/>
          </w:tcPr>
          <w:p w:rsidR="003F5D83" w:rsidRPr="000C2BE6" w:rsidRDefault="003F5D83" w:rsidP="003F5D83">
            <w:pPr>
              <w:spacing w:after="0" w:line="240" w:lineRule="auto"/>
              <w:jc w:val="right"/>
              <w:rPr>
                <w:rFonts w:ascii="Times New Roman" w:eastAsia="Times New Roman" w:hAnsi="Times New Roman" w:cs="Times New Roman"/>
                <w:sz w:val="24"/>
                <w:szCs w:val="24"/>
              </w:rPr>
            </w:pPr>
            <w:r w:rsidRPr="000C2BE6">
              <w:rPr>
                <w:rFonts w:ascii="Times New Roman" w:eastAsia="Times New Roman" w:hAnsi="Times New Roman" w:cs="Times New Roman"/>
                <w:sz w:val="24"/>
                <w:szCs w:val="24"/>
              </w:rPr>
              <w:t>38</w:t>
            </w:r>
          </w:p>
        </w:tc>
      </w:tr>
    </w:tbl>
    <w:p w:rsidR="003F5D83" w:rsidRPr="00A74106" w:rsidRDefault="003F5D83" w:rsidP="003F5D83">
      <w:pPr>
        <w:spacing w:after="0" w:line="240" w:lineRule="auto"/>
        <w:rPr>
          <w:rFonts w:ascii="Times New Roman" w:hAnsi="Times New Roman" w:cs="Times New Roman"/>
          <w:b/>
          <w:bCs/>
          <w:sz w:val="18"/>
          <w:szCs w:val="18"/>
          <w:lang w:val="ru-RU"/>
        </w:rPr>
      </w:pPr>
      <w:r w:rsidRPr="00A74106">
        <w:rPr>
          <w:rFonts w:ascii="Times New Roman" w:hAnsi="Times New Roman" w:cs="Times New Roman"/>
          <w:i/>
          <w:iCs/>
          <w:kern w:val="2"/>
          <w:sz w:val="16"/>
          <w:szCs w:val="16"/>
          <w:lang w:val="ru-RU"/>
          <w14:ligatures w14:val="standardContextual"/>
        </w:rPr>
        <w:t>Источник: Данные представлены МИРР</w:t>
      </w:r>
    </w:p>
    <w:p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В целом по стране количество функционирующих систем публичного водоснабжения в 2020–2024 гг. увеличилось с 1235 до 1397 единиц, или примерно на 13,1%. Это свидетельствует о постепенном развитии инфраструктуры водоснабжения и расширении доступа населения к базовым коммунальным услугам.</w:t>
      </w:r>
    </w:p>
    <w:p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 xml:space="preserve">Наибольшее количество систем водоснабжения по-прежнему сосредоточено в регионе Центр, где показатель вырос с 590 до 648 единиц (на 58 единиц или 9,8%). </w:t>
      </w:r>
      <w:r w:rsidRPr="006B5453">
        <w:rPr>
          <w:rFonts w:ascii="Times New Roman" w:hAnsi="Times New Roman" w:cs="Times New Roman"/>
          <w:kern w:val="2"/>
          <w:sz w:val="24"/>
          <w:szCs w:val="24"/>
          <w:lang w:val="ru-RU"/>
          <w14:ligatures w14:val="standardContextual"/>
        </w:rPr>
        <w:lastRenderedPageBreak/>
        <w:t>Значительный рост также наблюдается в северном регионе — с 289 до 370 единиц (на 81 единицу или 28,0%), что является одним из самых высоких темпов среди регионов.</w:t>
      </w:r>
    </w:p>
    <w:p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В южном регионе динамика менее выражена: показатель увеличился с 302 до 325 единиц (на 23 единицы или 7,6%), при этом в 2022–2023 гг. фиксируется незначительное снижение, что указывает на нестабильность развития инфраструктуры.</w:t>
      </w:r>
    </w:p>
    <w:p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В муниципии Кишинёв количество систем водоснабжения остаётся практически неизменным — рост составил с 14 до 16 единиц (на 2 единицы или 14,3%), что объясняется высокой степенью обеспеченности инфраструктурой и ограниченными возможностями её дальнейшего расширения.</w:t>
      </w:r>
    </w:p>
    <w:p w:rsidR="003F5D83" w:rsidRPr="006B545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B5453">
        <w:rPr>
          <w:rFonts w:ascii="Times New Roman" w:hAnsi="Times New Roman" w:cs="Times New Roman"/>
          <w:kern w:val="2"/>
          <w:sz w:val="24"/>
          <w:szCs w:val="24"/>
          <w:lang w:val="ru-RU"/>
          <w14:ligatures w14:val="standardContextual"/>
        </w:rPr>
        <w:t>В АТО Гагаузия динамика носит стагнационный характер: после увеличения показателя до 40 единиц в 2020 г. в последующие годы он стабилизировался на уровне 38 единиц и не изменялся до 2024 г. Несмотря на отсутствие количественного роста, уровень охвата населённых пунктов системами водоснабжения остаётся высоким и достигает 84,4%, уступая лишь муниципию Кишинёв (91,4%). Это свидетельствует о достаточно высоком уровне обеспеченности при ограниченных возможностях дальнейшего расширения инфраструктуры.</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Таким образом, данные свидетельствуют о том, что ключевую роль играет не только количество инфраструктурных объектов, но и эффективность их размещения и использования, что наиболее наглядно проявляется на примере АТО Гагаузия (рис</w:t>
      </w:r>
      <w:r>
        <w:rPr>
          <w:rFonts w:ascii="Times New Roman" w:hAnsi="Times New Roman" w:cs="Times New Roman"/>
          <w:kern w:val="2"/>
          <w:sz w:val="24"/>
          <w:szCs w:val="24"/>
          <w:lang w:val="ru-RU"/>
          <w14:ligatures w14:val="standardContextual"/>
        </w:rPr>
        <w:t>унок 2.10</w:t>
      </w:r>
      <w:r w:rsidRPr="00DA68F6">
        <w:rPr>
          <w:rFonts w:ascii="Times New Roman" w:hAnsi="Times New Roman" w:cs="Times New Roman"/>
          <w:kern w:val="2"/>
          <w:sz w:val="24"/>
          <w:szCs w:val="24"/>
          <w:lang w:val="ru-RU"/>
          <w14:ligatures w14:val="standardContextual"/>
        </w:rPr>
        <w:t>)</w:t>
      </w:r>
      <w:r>
        <w:rPr>
          <w:rFonts w:ascii="Times New Roman" w:hAnsi="Times New Roman" w:cs="Times New Roman"/>
          <w:kern w:val="2"/>
          <w:sz w:val="24"/>
          <w:szCs w:val="24"/>
          <w:lang w:val="ru-RU"/>
          <w14:ligatures w14:val="standardContextual"/>
        </w:rPr>
        <w:t>.</w:t>
      </w:r>
    </w:p>
    <w:p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B4537E" w:rsidRPr="000C2BE6"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0C2BE6" w:rsidRDefault="003F5D83" w:rsidP="003F5D83">
      <w:pPr>
        <w:spacing w:after="0" w:line="278" w:lineRule="auto"/>
        <w:rPr>
          <w:rFonts w:ascii="Arial" w:hAnsi="Arial" w:cs="Arial"/>
          <w:kern w:val="2"/>
          <w:sz w:val="20"/>
          <w:szCs w:val="20"/>
          <w14:ligatures w14:val="standardContextual"/>
        </w:rPr>
      </w:pPr>
      <w:r w:rsidRPr="000C2BE6">
        <w:rPr>
          <w:noProof/>
          <w:kern w:val="2"/>
          <w:sz w:val="24"/>
          <w:szCs w:val="24"/>
          <w:lang w:val="ru-RU" w:eastAsia="ru-RU"/>
          <w14:ligatures w14:val="standardContextual"/>
        </w:rPr>
        <w:drawing>
          <wp:inline distT="0" distB="0" distL="0" distR="0" wp14:anchorId="76840DF3" wp14:editId="4318147E">
            <wp:extent cx="5857875" cy="2590800"/>
            <wp:effectExtent l="0" t="0" r="0" b="0"/>
            <wp:docPr id="636162051" name="Диаграмма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F5D83" w:rsidRPr="00D9480F"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Рис</w:t>
      </w:r>
      <w:r>
        <w:rPr>
          <w:rFonts w:ascii="Times New Roman" w:hAnsi="Times New Roman" w:cs="Times New Roman"/>
          <w:b/>
          <w:bCs/>
          <w:kern w:val="2"/>
          <w:sz w:val="24"/>
          <w:szCs w:val="24"/>
          <w:lang w:val="ru-RU"/>
          <w14:ligatures w14:val="standardContextual"/>
        </w:rPr>
        <w:t>унок 2.10.</w:t>
      </w:r>
      <w:r w:rsidRPr="000C2BE6">
        <w:rPr>
          <w:rFonts w:ascii="Times New Roman" w:hAnsi="Times New Roman" w:cs="Times New Roman"/>
          <w:b/>
          <w:bCs/>
          <w:kern w:val="2"/>
          <w:sz w:val="24"/>
          <w:szCs w:val="24"/>
          <w:lang w:val="ru-RU"/>
          <w14:ligatures w14:val="standardContextual"/>
        </w:rPr>
        <w:t xml:space="preserve"> Доля населенных пунктов, имеющих доступ к централизованным </w:t>
      </w:r>
      <w:r w:rsidRPr="00D9480F">
        <w:rPr>
          <w:rFonts w:ascii="Times New Roman" w:hAnsi="Times New Roman" w:cs="Times New Roman"/>
          <w:b/>
          <w:bCs/>
          <w:kern w:val="2"/>
          <w:sz w:val="24"/>
          <w:szCs w:val="24"/>
          <w:lang w:val="ru-RU"/>
          <w14:ligatures w14:val="standardContextual"/>
        </w:rPr>
        <w:t>системам водоснабжения, по регионам развития в 2024 году,</w:t>
      </w:r>
      <w:r w:rsidR="00AB68D4" w:rsidRPr="00AB68D4">
        <w:rPr>
          <w:rFonts w:ascii="Times New Roman" w:hAnsi="Times New Roman" w:cs="Times New Roman"/>
          <w:b/>
          <w:bCs/>
          <w:kern w:val="2"/>
          <w:sz w:val="24"/>
          <w:szCs w:val="24"/>
          <w:lang w:val="ru-RU"/>
          <w14:ligatures w14:val="standardContextual"/>
        </w:rPr>
        <w:t xml:space="preserve"> </w:t>
      </w:r>
      <w:r w:rsidRPr="00D9480F">
        <w:rPr>
          <w:rFonts w:ascii="Times New Roman" w:hAnsi="Times New Roman" w:cs="Times New Roman"/>
          <w:b/>
          <w:bCs/>
          <w:kern w:val="2"/>
          <w:sz w:val="24"/>
          <w:szCs w:val="24"/>
          <w:lang w:val="ru-RU"/>
          <w14:ligatures w14:val="standardContextual"/>
        </w:rPr>
        <w:t>%</w:t>
      </w:r>
    </w:p>
    <w:p w:rsidR="003F5D83"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D9480F">
        <w:rPr>
          <w:rFonts w:ascii="Times New Roman" w:hAnsi="Times New Roman" w:cs="Times New Roman"/>
          <w:i/>
          <w:iCs/>
          <w:kern w:val="2"/>
          <w:sz w:val="16"/>
          <w:szCs w:val="16"/>
          <w14:ligatures w14:val="standardContextual"/>
        </w:rPr>
        <w:t>Источник</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Biroul</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Național</w:t>
      </w:r>
      <w:proofErr w:type="spellEnd"/>
      <w:r w:rsidRPr="00D9480F">
        <w:rPr>
          <w:rFonts w:ascii="Times New Roman" w:hAnsi="Times New Roman" w:cs="Times New Roman"/>
          <w:i/>
          <w:iCs/>
          <w:kern w:val="2"/>
          <w:sz w:val="16"/>
          <w:szCs w:val="16"/>
          <w14:ligatures w14:val="standardContextual"/>
        </w:rPr>
        <w:t xml:space="preserve"> de </w:t>
      </w:r>
      <w:proofErr w:type="spellStart"/>
      <w:r w:rsidRPr="00D9480F">
        <w:rPr>
          <w:rFonts w:ascii="Times New Roman" w:hAnsi="Times New Roman" w:cs="Times New Roman"/>
          <w:i/>
          <w:iCs/>
          <w:kern w:val="2"/>
          <w:sz w:val="16"/>
          <w:szCs w:val="16"/>
          <w14:ligatures w14:val="standardContextual"/>
        </w:rPr>
        <w:t>Statistică</w:t>
      </w:r>
      <w:proofErr w:type="spellEnd"/>
      <w:r w:rsidRPr="00D9480F">
        <w:rPr>
          <w:rFonts w:ascii="Times New Roman" w:hAnsi="Times New Roman" w:cs="Times New Roman"/>
          <w:i/>
          <w:iCs/>
          <w:kern w:val="2"/>
          <w:sz w:val="16"/>
          <w:szCs w:val="16"/>
          <w14:ligatures w14:val="standardContextual"/>
        </w:rPr>
        <w:t xml:space="preserve"> al </w:t>
      </w:r>
      <w:proofErr w:type="spellStart"/>
      <w:r w:rsidRPr="00D9480F">
        <w:rPr>
          <w:rFonts w:ascii="Times New Roman" w:hAnsi="Times New Roman" w:cs="Times New Roman"/>
          <w:i/>
          <w:iCs/>
          <w:kern w:val="2"/>
          <w:sz w:val="16"/>
          <w:szCs w:val="16"/>
          <w14:ligatures w14:val="standardContextual"/>
        </w:rPr>
        <w:t>Republicii</w:t>
      </w:r>
      <w:proofErr w:type="spellEnd"/>
      <w:r w:rsidRPr="00D9480F">
        <w:rPr>
          <w:rFonts w:ascii="Times New Roman" w:hAnsi="Times New Roman" w:cs="Times New Roman"/>
          <w:i/>
          <w:iCs/>
          <w:kern w:val="2"/>
          <w:sz w:val="16"/>
          <w:szCs w:val="16"/>
          <w14:ligatures w14:val="standardContextual"/>
        </w:rPr>
        <w:t xml:space="preserve"> Moldova. </w:t>
      </w:r>
      <w:proofErr w:type="spellStart"/>
      <w:r w:rsidRPr="00D9480F">
        <w:rPr>
          <w:rFonts w:ascii="Times New Roman" w:hAnsi="Times New Roman" w:cs="Times New Roman"/>
          <w:i/>
          <w:iCs/>
          <w:kern w:val="2"/>
          <w:sz w:val="16"/>
          <w:szCs w:val="16"/>
          <w14:ligatures w14:val="standardContextual"/>
        </w:rPr>
        <w:t>Activitatea</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sistemelor</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publice</w:t>
      </w:r>
      <w:proofErr w:type="spellEnd"/>
      <w:r w:rsidRPr="00D9480F">
        <w:rPr>
          <w:rFonts w:ascii="Times New Roman" w:hAnsi="Times New Roman" w:cs="Times New Roman"/>
          <w:i/>
          <w:iCs/>
          <w:kern w:val="2"/>
          <w:sz w:val="16"/>
          <w:szCs w:val="16"/>
          <w14:ligatures w14:val="standardContextual"/>
        </w:rPr>
        <w:t xml:space="preserve"> de </w:t>
      </w:r>
      <w:proofErr w:type="spellStart"/>
      <w:r w:rsidRPr="00D9480F">
        <w:rPr>
          <w:rFonts w:ascii="Times New Roman" w:hAnsi="Times New Roman" w:cs="Times New Roman"/>
          <w:i/>
          <w:iCs/>
          <w:kern w:val="2"/>
          <w:sz w:val="16"/>
          <w:szCs w:val="16"/>
          <w14:ligatures w14:val="standardContextual"/>
        </w:rPr>
        <w:t>alimentare</w:t>
      </w:r>
      <w:proofErr w:type="spellEnd"/>
      <w:r w:rsidRPr="00D9480F">
        <w:rPr>
          <w:rFonts w:ascii="Times New Roman" w:hAnsi="Times New Roman" w:cs="Times New Roman"/>
          <w:i/>
          <w:iCs/>
          <w:kern w:val="2"/>
          <w:sz w:val="16"/>
          <w:szCs w:val="16"/>
          <w14:ligatures w14:val="standardContextual"/>
        </w:rPr>
        <w:t xml:space="preserve"> cu </w:t>
      </w:r>
      <w:proofErr w:type="spellStart"/>
      <w:r w:rsidRPr="00D9480F">
        <w:rPr>
          <w:rFonts w:ascii="Times New Roman" w:hAnsi="Times New Roman" w:cs="Times New Roman"/>
          <w:i/>
          <w:iCs/>
          <w:kern w:val="2"/>
          <w:sz w:val="16"/>
          <w:szCs w:val="16"/>
          <w14:ligatures w14:val="standardContextual"/>
        </w:rPr>
        <w:t>apă</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și</w:t>
      </w:r>
      <w:proofErr w:type="spellEnd"/>
      <w:r w:rsidRPr="00D9480F">
        <w:rPr>
          <w:rFonts w:ascii="Times New Roman" w:hAnsi="Times New Roman" w:cs="Times New Roman"/>
          <w:i/>
          <w:iCs/>
          <w:kern w:val="2"/>
          <w:sz w:val="16"/>
          <w:szCs w:val="16"/>
          <w14:ligatures w14:val="standardContextual"/>
        </w:rPr>
        <w:t xml:space="preserve"> de </w:t>
      </w:r>
      <w:proofErr w:type="spellStart"/>
      <w:r w:rsidRPr="00D9480F">
        <w:rPr>
          <w:rFonts w:ascii="Times New Roman" w:hAnsi="Times New Roman" w:cs="Times New Roman"/>
          <w:i/>
          <w:iCs/>
          <w:kern w:val="2"/>
          <w:sz w:val="16"/>
          <w:szCs w:val="16"/>
          <w14:ligatures w14:val="standardContextual"/>
        </w:rPr>
        <w:t>canalizare</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în</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anul</w:t>
      </w:r>
      <w:proofErr w:type="spellEnd"/>
      <w:r w:rsidRPr="00D9480F">
        <w:rPr>
          <w:rFonts w:ascii="Times New Roman" w:hAnsi="Times New Roman" w:cs="Times New Roman"/>
          <w:i/>
          <w:iCs/>
          <w:kern w:val="2"/>
          <w:sz w:val="16"/>
          <w:szCs w:val="16"/>
          <w14:ligatures w14:val="standardContextual"/>
        </w:rPr>
        <w:t xml:space="preserve"> 2024 [</w:t>
      </w:r>
      <w:proofErr w:type="spellStart"/>
      <w:r w:rsidRPr="00D9480F">
        <w:rPr>
          <w:rFonts w:ascii="Times New Roman" w:hAnsi="Times New Roman" w:cs="Times New Roman"/>
          <w:i/>
          <w:iCs/>
          <w:kern w:val="2"/>
          <w:sz w:val="16"/>
          <w:szCs w:val="16"/>
          <w14:ligatures w14:val="standardContextual"/>
        </w:rPr>
        <w:t>resursă</w:t>
      </w:r>
      <w:proofErr w:type="spellEnd"/>
      <w:r w:rsidRPr="00D9480F">
        <w:rPr>
          <w:rFonts w:ascii="Times New Roman" w:hAnsi="Times New Roman" w:cs="Times New Roman"/>
          <w:i/>
          <w:iCs/>
          <w:kern w:val="2"/>
          <w:sz w:val="16"/>
          <w:szCs w:val="16"/>
          <w14:ligatures w14:val="standardContextual"/>
        </w:rPr>
        <w:t xml:space="preserve"> </w:t>
      </w:r>
      <w:proofErr w:type="spellStart"/>
      <w:r w:rsidRPr="00D9480F">
        <w:rPr>
          <w:rFonts w:ascii="Times New Roman" w:hAnsi="Times New Roman" w:cs="Times New Roman"/>
          <w:i/>
          <w:iCs/>
          <w:kern w:val="2"/>
          <w:sz w:val="16"/>
          <w:szCs w:val="16"/>
          <w14:ligatures w14:val="standardContextual"/>
        </w:rPr>
        <w:t>electronică</w:t>
      </w:r>
      <w:proofErr w:type="spellEnd"/>
      <w:r w:rsidRPr="00D9480F">
        <w:rPr>
          <w:rFonts w:ascii="Times New Roman" w:hAnsi="Times New Roman" w:cs="Times New Roman"/>
          <w:i/>
          <w:iCs/>
          <w:kern w:val="2"/>
          <w:sz w:val="16"/>
          <w:szCs w:val="16"/>
          <w14:ligatures w14:val="standardContextual"/>
        </w:rPr>
        <w:t xml:space="preserve">]. – </w:t>
      </w:r>
      <w:proofErr w:type="spellStart"/>
      <w:r w:rsidRPr="00D9480F">
        <w:rPr>
          <w:rFonts w:ascii="Times New Roman" w:hAnsi="Times New Roman" w:cs="Times New Roman"/>
          <w:i/>
          <w:iCs/>
          <w:kern w:val="2"/>
          <w:sz w:val="16"/>
          <w:szCs w:val="16"/>
          <w14:ligatures w14:val="standardContextual"/>
        </w:rPr>
        <w:t>Disponibil</w:t>
      </w:r>
      <w:proofErr w:type="spellEnd"/>
      <w:r w:rsidRPr="00D9480F">
        <w:rPr>
          <w:rFonts w:ascii="Times New Roman" w:hAnsi="Times New Roman" w:cs="Times New Roman"/>
          <w:i/>
          <w:iCs/>
          <w:kern w:val="2"/>
          <w:sz w:val="16"/>
          <w:szCs w:val="16"/>
          <w14:ligatures w14:val="standardContextual"/>
        </w:rPr>
        <w:t xml:space="preserve">: </w:t>
      </w:r>
      <w:hyperlink r:id="rId38" w:tgtFrame="_new" w:history="1">
        <w:proofErr w:type="spellStart"/>
        <w:r w:rsidRPr="00D9480F">
          <w:rPr>
            <w:rFonts w:ascii="Times New Roman" w:hAnsi="Times New Roman" w:cs="Times New Roman"/>
            <w:i/>
            <w:iCs/>
            <w:color w:val="0563C1" w:themeColor="hyperlink"/>
            <w:kern w:val="2"/>
            <w:sz w:val="16"/>
            <w:szCs w:val="16"/>
            <w:u w:val="single"/>
            <w14:ligatures w14:val="standardContextual"/>
          </w:rPr>
          <w:t>Accesează</w:t>
        </w:r>
        <w:proofErr w:type="spellEnd"/>
        <w:r w:rsidRPr="00D9480F">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D9480F">
          <w:rPr>
            <w:rFonts w:ascii="Times New Roman" w:hAnsi="Times New Roman" w:cs="Times New Roman"/>
            <w:i/>
            <w:iCs/>
            <w:color w:val="0563C1" w:themeColor="hyperlink"/>
            <w:kern w:val="2"/>
            <w:sz w:val="16"/>
            <w:szCs w:val="16"/>
            <w:u w:val="single"/>
            <w14:ligatures w14:val="standardContextual"/>
          </w:rPr>
          <w:t>sursa</w:t>
        </w:r>
        <w:proofErr w:type="spellEnd"/>
      </w:hyperlink>
      <w:r w:rsidRPr="00D9480F">
        <w:rPr>
          <w:rFonts w:ascii="Times New Roman" w:hAnsi="Times New Roman" w:cs="Times New Roman"/>
          <w:i/>
          <w:iCs/>
          <w:kern w:val="2"/>
          <w:sz w:val="16"/>
          <w:szCs w:val="16"/>
          <w14:ligatures w14:val="standardContextual"/>
        </w:rPr>
        <w:t xml:space="preserve"> </w:t>
      </w:r>
    </w:p>
    <w:p w:rsidR="00B4537E" w:rsidRDefault="00B4537E" w:rsidP="003F5D83">
      <w:pPr>
        <w:spacing w:after="0" w:line="240" w:lineRule="auto"/>
        <w:ind w:right="-22"/>
        <w:jc w:val="both"/>
        <w:rPr>
          <w:rFonts w:ascii="Times New Roman" w:hAnsi="Times New Roman" w:cs="Times New Roman"/>
          <w:i/>
          <w:iCs/>
          <w:kern w:val="2"/>
          <w:sz w:val="16"/>
          <w:szCs w:val="16"/>
          <w14:ligatures w14:val="standardContextual"/>
        </w:rPr>
      </w:pPr>
    </w:p>
    <w:p w:rsidR="00AB68D4" w:rsidRPr="00F03094" w:rsidRDefault="00AB68D4" w:rsidP="003F5D83">
      <w:pPr>
        <w:spacing w:after="0" w:line="240" w:lineRule="auto"/>
        <w:ind w:right="-22"/>
        <w:jc w:val="both"/>
        <w:rPr>
          <w:rFonts w:ascii="Times New Roman" w:hAnsi="Times New Roman" w:cs="Times New Roman"/>
          <w:i/>
          <w:iCs/>
          <w:kern w:val="2"/>
          <w:sz w:val="16"/>
          <w:szCs w:val="16"/>
          <w14:ligatures w14:val="standardContextual"/>
        </w:rPr>
      </w:pP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Следует отметить также, что централизованное водоснабжение охватывает практически все населённые пункты АТО Гагаузия, однако уровень подключения населения и техническое состояние сетей существенно различаются.</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В абсолютном выражении наибольшее развитие системы наблюдается в крупных населённых пунктах. Так, в Комрате при численности населения 20 165 человек подключено 91,6 % домохозяйств (8 966 домохозяйств из 9786 домохозяйств), а протяжённость сетей составляет 172 км. В Чадыр-Лунге (16 035 жителей) протяжённость сетей достигает 250,2 км, при этом подключено 7 552 домохозяйства. В Вулканештах (12 054 жителей) — 50,9 км сетей и 2 917 подключённых домохозяйств. Это свидетельствует о высокой концентрации инфраструктуры в городах.</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lastRenderedPageBreak/>
        <w:t xml:space="preserve">В средних и крупных сельских населённых пунктах показатели существенно ниже. Например, в </w:t>
      </w:r>
      <w:proofErr w:type="spellStart"/>
      <w:r w:rsidRPr="000C2BE6">
        <w:rPr>
          <w:rFonts w:ascii="Times New Roman" w:hAnsi="Times New Roman" w:cs="Times New Roman"/>
          <w:kern w:val="2"/>
          <w:sz w:val="24"/>
          <w:szCs w:val="24"/>
          <w:lang w:val="ru-RU"/>
          <w14:ligatures w14:val="standardContextual"/>
        </w:rPr>
        <w:t>Копчаке</w:t>
      </w:r>
      <w:proofErr w:type="spellEnd"/>
      <w:r w:rsidRPr="000C2BE6">
        <w:rPr>
          <w:rFonts w:ascii="Times New Roman" w:hAnsi="Times New Roman" w:cs="Times New Roman"/>
          <w:kern w:val="2"/>
          <w:sz w:val="24"/>
          <w:szCs w:val="24"/>
          <w:lang w:val="ru-RU"/>
          <w14:ligatures w14:val="standardContextual"/>
        </w:rPr>
        <w:t xml:space="preserve"> (7 207 жителей) — 32 км сетей и 1 411 подключённых домохозяйств, в Конгазе (9 463 жителей) — 65 км и 3 015 домохозяйств. В малых населённых пунктах (</w:t>
      </w:r>
      <w:proofErr w:type="spellStart"/>
      <w:r w:rsidRPr="000C2BE6">
        <w:rPr>
          <w:rFonts w:ascii="Times New Roman" w:hAnsi="Times New Roman" w:cs="Times New Roman"/>
          <w:kern w:val="2"/>
          <w:sz w:val="24"/>
          <w:szCs w:val="24"/>
          <w:lang w:val="ru-RU"/>
          <w14:ligatures w14:val="standardContextual"/>
        </w:rPr>
        <w:t>Карбалия</w:t>
      </w:r>
      <w:proofErr w:type="spellEnd"/>
      <w:r w:rsidRPr="000C2BE6">
        <w:rPr>
          <w:rFonts w:ascii="Times New Roman" w:hAnsi="Times New Roman" w:cs="Times New Roman"/>
          <w:kern w:val="2"/>
          <w:sz w:val="24"/>
          <w:szCs w:val="24"/>
          <w:lang w:val="ru-RU"/>
          <w14:ligatures w14:val="standardContextual"/>
        </w:rPr>
        <w:t xml:space="preserve"> — 309 жителей; </w:t>
      </w:r>
      <w:proofErr w:type="spellStart"/>
      <w:r w:rsidRPr="000C2BE6">
        <w:rPr>
          <w:rFonts w:ascii="Times New Roman" w:hAnsi="Times New Roman" w:cs="Times New Roman"/>
          <w:kern w:val="2"/>
          <w:sz w:val="24"/>
          <w:szCs w:val="24"/>
          <w:lang w:val="ru-RU"/>
          <w14:ligatures w14:val="standardContextual"/>
        </w:rPr>
        <w:t>Котовское</w:t>
      </w:r>
      <w:proofErr w:type="spellEnd"/>
      <w:r w:rsidRPr="000C2BE6">
        <w:rPr>
          <w:rFonts w:ascii="Times New Roman" w:hAnsi="Times New Roman" w:cs="Times New Roman"/>
          <w:kern w:val="2"/>
          <w:sz w:val="24"/>
          <w:szCs w:val="24"/>
          <w:lang w:val="ru-RU"/>
          <w14:ligatures w14:val="standardContextual"/>
        </w:rPr>
        <w:t xml:space="preserve"> — 763; Буджак — 1 270) протяжённость сетей составляет всего 6–11 км.</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Относительный уровень подключения к водоснабжению также неоднороден. В ряде населённых пунктов наблюдается почти полный охват (</w:t>
      </w:r>
      <w:proofErr w:type="spellStart"/>
      <w:r w:rsidRPr="000C2BE6">
        <w:rPr>
          <w:rFonts w:ascii="Times New Roman" w:hAnsi="Times New Roman" w:cs="Times New Roman"/>
          <w:kern w:val="2"/>
          <w:sz w:val="24"/>
          <w:szCs w:val="24"/>
          <w:lang w:val="ru-RU"/>
          <w14:ligatures w14:val="standardContextual"/>
        </w:rPr>
        <w:t>Авдарма</w:t>
      </w:r>
      <w:proofErr w:type="spellEnd"/>
      <w:r w:rsidRPr="000C2BE6">
        <w:rPr>
          <w:rFonts w:ascii="Times New Roman" w:hAnsi="Times New Roman" w:cs="Times New Roman"/>
          <w:kern w:val="2"/>
          <w:sz w:val="24"/>
          <w:szCs w:val="24"/>
          <w:lang w:val="ru-RU"/>
          <w14:ligatures w14:val="standardContextual"/>
        </w:rPr>
        <w:t xml:space="preserve"> — 2 707 жителей подключены при общей численности 2 707, Русская </w:t>
      </w:r>
      <w:proofErr w:type="spellStart"/>
      <w:r w:rsidRPr="000C2BE6">
        <w:rPr>
          <w:rFonts w:ascii="Times New Roman" w:hAnsi="Times New Roman" w:cs="Times New Roman"/>
          <w:kern w:val="2"/>
          <w:sz w:val="24"/>
          <w:szCs w:val="24"/>
          <w:lang w:val="ru-RU"/>
          <w14:ligatures w14:val="standardContextual"/>
        </w:rPr>
        <w:t>Киселия</w:t>
      </w:r>
      <w:proofErr w:type="spellEnd"/>
      <w:r w:rsidRPr="000C2BE6">
        <w:rPr>
          <w:rFonts w:ascii="Times New Roman" w:hAnsi="Times New Roman" w:cs="Times New Roman"/>
          <w:kern w:val="2"/>
          <w:sz w:val="24"/>
          <w:szCs w:val="24"/>
          <w:lang w:val="ru-RU"/>
          <w14:ligatures w14:val="standardContextual"/>
        </w:rPr>
        <w:t xml:space="preserve"> — 533 из 533, </w:t>
      </w:r>
      <w:proofErr w:type="spellStart"/>
      <w:r w:rsidRPr="000C2BE6">
        <w:rPr>
          <w:rFonts w:ascii="Times New Roman" w:hAnsi="Times New Roman" w:cs="Times New Roman"/>
          <w:kern w:val="2"/>
          <w:sz w:val="24"/>
          <w:szCs w:val="24"/>
          <w:lang w:val="ru-RU"/>
          <w14:ligatures w14:val="standardContextual"/>
        </w:rPr>
        <w:t>Томай</w:t>
      </w:r>
      <w:proofErr w:type="spellEnd"/>
      <w:r w:rsidRPr="000C2BE6">
        <w:rPr>
          <w:rFonts w:ascii="Times New Roman" w:hAnsi="Times New Roman" w:cs="Times New Roman"/>
          <w:kern w:val="2"/>
          <w:sz w:val="24"/>
          <w:szCs w:val="24"/>
          <w:lang w:val="ru-RU"/>
          <w14:ligatures w14:val="standardContextual"/>
        </w:rPr>
        <w:t xml:space="preserve"> — 3 291 из 3 291). В то же время в других населённых пунктах уровень подключения ниже: например, в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Кириет-Лунга</w:t>
      </w:r>
      <w:proofErr w:type="spellEnd"/>
      <w:r w:rsidRPr="000C2BE6">
        <w:rPr>
          <w:rFonts w:ascii="Times New Roman" w:hAnsi="Times New Roman" w:cs="Times New Roman"/>
          <w:kern w:val="2"/>
          <w:sz w:val="24"/>
          <w:szCs w:val="24"/>
          <w:lang w:val="ru-RU"/>
          <w14:ligatures w14:val="standardContextual"/>
        </w:rPr>
        <w:t xml:space="preserve"> подключено 1 659 из 1 659 (формально 100%, но по домохозяйствам — 594 из 803), в </w:t>
      </w:r>
      <w:r w:rsidR="00B4537E">
        <w:rPr>
          <w:rFonts w:ascii="Times New Roman" w:hAnsi="Times New Roman" w:cs="Times New Roman"/>
          <w:kern w:val="2"/>
          <w:sz w:val="24"/>
          <w:szCs w:val="24"/>
          <w:lang w:val="ru-RU"/>
          <w14:ligatures w14:val="standardContextual"/>
        </w:rPr>
        <w:t xml:space="preserve">селе </w:t>
      </w:r>
      <w:r w:rsidRPr="000C2BE6">
        <w:rPr>
          <w:rFonts w:ascii="Times New Roman" w:hAnsi="Times New Roman" w:cs="Times New Roman"/>
          <w:kern w:val="2"/>
          <w:sz w:val="24"/>
          <w:szCs w:val="24"/>
          <w:lang w:val="ru-RU"/>
          <w14:ligatures w14:val="standardContextual"/>
        </w:rPr>
        <w:t>Гайдар</w:t>
      </w:r>
      <w:r w:rsidR="00B4537E">
        <w:rPr>
          <w:rFonts w:ascii="Times New Roman" w:hAnsi="Times New Roman" w:cs="Times New Roman"/>
          <w:kern w:val="2"/>
          <w:sz w:val="24"/>
          <w:szCs w:val="24"/>
          <w:lang w:val="ru-RU"/>
          <w14:ligatures w14:val="standardContextual"/>
        </w:rPr>
        <w:t>ы</w:t>
      </w:r>
      <w:r w:rsidRPr="000C2BE6">
        <w:rPr>
          <w:rFonts w:ascii="Times New Roman" w:hAnsi="Times New Roman" w:cs="Times New Roman"/>
          <w:kern w:val="2"/>
          <w:sz w:val="24"/>
          <w:szCs w:val="24"/>
          <w:lang w:val="ru-RU"/>
          <w14:ligatures w14:val="standardContextual"/>
        </w:rPr>
        <w:t xml:space="preserve"> — 1 734 из 2 771 (около 63%), в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xml:space="preserve"> — 6 179 из 7 207 (около 86%).</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Серьёзной проблемой являются потери воды. Наиболее высокие значения зафиксированы в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Чешмикиой</w:t>
      </w:r>
      <w:proofErr w:type="spellEnd"/>
      <w:r w:rsidRPr="000C2BE6">
        <w:rPr>
          <w:rFonts w:ascii="Times New Roman" w:hAnsi="Times New Roman" w:cs="Times New Roman"/>
          <w:kern w:val="2"/>
          <w:sz w:val="24"/>
          <w:szCs w:val="24"/>
          <w:lang w:val="ru-RU"/>
          <w14:ligatures w14:val="standardContextual"/>
        </w:rPr>
        <w:t xml:space="preserve"> — 61%,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Чок</w:t>
      </w:r>
      <w:proofErr w:type="spellEnd"/>
      <w:r w:rsidR="00B4537E">
        <w:rPr>
          <w:rFonts w:ascii="Times New Roman" w:hAnsi="Times New Roman" w:cs="Times New Roman"/>
          <w:kern w:val="2"/>
          <w:sz w:val="24"/>
          <w:szCs w:val="24"/>
          <w:lang w:val="ru-RU"/>
          <w14:ligatures w14:val="standardContextual"/>
        </w:rPr>
        <w:t>-Майдан</w:t>
      </w:r>
      <w:r w:rsidRPr="000C2BE6">
        <w:rPr>
          <w:rFonts w:ascii="Times New Roman" w:hAnsi="Times New Roman" w:cs="Times New Roman"/>
          <w:kern w:val="2"/>
          <w:sz w:val="24"/>
          <w:szCs w:val="24"/>
          <w:lang w:val="ru-RU"/>
          <w14:ligatures w14:val="standardContextual"/>
        </w:rPr>
        <w:t xml:space="preserve"> — 50</w:t>
      </w:r>
      <w:r w:rsidR="00B4537E" w:rsidRPr="000C2BE6">
        <w:rPr>
          <w:rFonts w:ascii="Times New Roman" w:hAnsi="Times New Roman" w:cs="Times New Roman"/>
          <w:kern w:val="2"/>
          <w:sz w:val="24"/>
          <w:szCs w:val="24"/>
          <w:lang w:val="ru-RU"/>
          <w14:ligatures w14:val="standardContextual"/>
        </w:rPr>
        <w:t xml:space="preserve">%, </w:t>
      </w:r>
      <w:r w:rsidR="00B4537E">
        <w:rPr>
          <w:rFonts w:ascii="Times New Roman" w:hAnsi="Times New Roman" w:cs="Times New Roman"/>
          <w:kern w:val="2"/>
          <w:sz w:val="24"/>
          <w:szCs w:val="24"/>
          <w:lang w:val="ru-RU"/>
          <w14:ligatures w14:val="standardContextual"/>
        </w:rPr>
        <w:t xml:space="preserve">селе </w:t>
      </w:r>
      <w:proofErr w:type="spellStart"/>
      <w:r w:rsidR="00B4537E">
        <w:rPr>
          <w:rFonts w:ascii="Times New Roman" w:hAnsi="Times New Roman" w:cs="Times New Roman"/>
          <w:kern w:val="2"/>
          <w:sz w:val="24"/>
          <w:szCs w:val="24"/>
          <w:lang w:val="ru-RU"/>
          <w14:ligatures w14:val="standardContextual"/>
        </w:rPr>
        <w:t>Казаклия</w:t>
      </w:r>
      <w:proofErr w:type="spellEnd"/>
      <w:r w:rsidRPr="000C2BE6">
        <w:rPr>
          <w:rFonts w:ascii="Times New Roman" w:hAnsi="Times New Roman" w:cs="Times New Roman"/>
          <w:kern w:val="2"/>
          <w:sz w:val="24"/>
          <w:szCs w:val="24"/>
          <w:lang w:val="ru-RU"/>
          <w14:ligatures w14:val="standardContextual"/>
        </w:rPr>
        <w:t xml:space="preserve"> — 30%, Комрате — 50,7%. Это означает, что в отдельных населённых пунктах теряется до половины подаваемой воды. В то же время есть населённые пункты с низкими потерями (</w:t>
      </w:r>
      <w:proofErr w:type="spellStart"/>
      <w:r w:rsidRPr="000C2BE6">
        <w:rPr>
          <w:rFonts w:ascii="Times New Roman" w:hAnsi="Times New Roman" w:cs="Times New Roman"/>
          <w:kern w:val="2"/>
          <w:sz w:val="24"/>
          <w:szCs w:val="24"/>
          <w:lang w:val="ru-RU"/>
          <w14:ligatures w14:val="standardContextual"/>
        </w:rPr>
        <w:t>Карбалия</w:t>
      </w:r>
      <w:proofErr w:type="spellEnd"/>
      <w:r w:rsidRPr="000C2BE6">
        <w:rPr>
          <w:rFonts w:ascii="Times New Roman" w:hAnsi="Times New Roman" w:cs="Times New Roman"/>
          <w:kern w:val="2"/>
          <w:sz w:val="24"/>
          <w:szCs w:val="24"/>
          <w:lang w:val="ru-RU"/>
          <w14:ligatures w14:val="standardContextual"/>
        </w:rPr>
        <w:t xml:space="preserve"> — 5%, </w:t>
      </w:r>
      <w:proofErr w:type="spellStart"/>
      <w:r w:rsidRPr="000C2BE6">
        <w:rPr>
          <w:rFonts w:ascii="Times New Roman" w:hAnsi="Times New Roman" w:cs="Times New Roman"/>
          <w:kern w:val="2"/>
          <w:sz w:val="24"/>
          <w:szCs w:val="24"/>
          <w:lang w:val="ru-RU"/>
          <w14:ligatures w14:val="standardContextual"/>
        </w:rPr>
        <w:t>Бешалма</w:t>
      </w:r>
      <w:proofErr w:type="spellEnd"/>
      <w:r w:rsidRPr="000C2BE6">
        <w:rPr>
          <w:rFonts w:ascii="Times New Roman" w:hAnsi="Times New Roman" w:cs="Times New Roman"/>
          <w:kern w:val="2"/>
          <w:sz w:val="24"/>
          <w:szCs w:val="24"/>
          <w:lang w:val="ru-RU"/>
          <w14:ligatures w14:val="standardContextual"/>
        </w:rPr>
        <w:t xml:space="preserve"> — около 7%, </w:t>
      </w:r>
      <w:proofErr w:type="spellStart"/>
      <w:r w:rsidRPr="000C2BE6">
        <w:rPr>
          <w:rFonts w:ascii="Times New Roman" w:hAnsi="Times New Roman" w:cs="Times New Roman"/>
          <w:kern w:val="2"/>
          <w:sz w:val="24"/>
          <w:szCs w:val="24"/>
          <w:lang w:val="ru-RU"/>
          <w14:ligatures w14:val="standardContextual"/>
        </w:rPr>
        <w:t>Котовское</w:t>
      </w:r>
      <w:proofErr w:type="spellEnd"/>
      <w:r w:rsidRPr="000C2BE6">
        <w:rPr>
          <w:rFonts w:ascii="Times New Roman" w:hAnsi="Times New Roman" w:cs="Times New Roman"/>
          <w:kern w:val="2"/>
          <w:sz w:val="24"/>
          <w:szCs w:val="24"/>
          <w:lang w:val="ru-RU"/>
          <w14:ligatures w14:val="standardContextual"/>
        </w:rPr>
        <w:t xml:space="preserve"> и Русская </w:t>
      </w:r>
      <w:proofErr w:type="spellStart"/>
      <w:r w:rsidRPr="000C2BE6">
        <w:rPr>
          <w:rFonts w:ascii="Times New Roman" w:hAnsi="Times New Roman" w:cs="Times New Roman"/>
          <w:kern w:val="2"/>
          <w:sz w:val="24"/>
          <w:szCs w:val="24"/>
          <w:lang w:val="ru-RU"/>
          <w14:ligatures w14:val="standardContextual"/>
        </w:rPr>
        <w:t>Киселия</w:t>
      </w:r>
      <w:proofErr w:type="spellEnd"/>
      <w:r w:rsidRPr="000C2BE6">
        <w:rPr>
          <w:rFonts w:ascii="Times New Roman" w:hAnsi="Times New Roman" w:cs="Times New Roman"/>
          <w:kern w:val="2"/>
          <w:sz w:val="24"/>
          <w:szCs w:val="24"/>
          <w:lang w:val="ru-RU"/>
          <w14:ligatures w14:val="standardContextual"/>
        </w:rPr>
        <w:t xml:space="preserve"> — 0%). Таким образом, разрыв между минимальными и максимальными значениями составляет более 60 процентных пунктов.</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Показатель использования воды играет важную роль в оценке устойчивого развития региона, отражая нагрузку на природные ресурсы и ресурсоёмкость экономики. Его анализ в региональном разрезе позволяет выявить структурные особенности хозяйственной деятельности и оценить эффективность использования водных ресурсов. Для более детального анализа представим в динамике объёмы забора и использования воды по регионам развития.</w:t>
      </w: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2.18.</w:t>
      </w:r>
      <w:r w:rsidRPr="000C2BE6">
        <w:rPr>
          <w:rFonts w:ascii="Times New Roman" w:hAnsi="Times New Roman" w:cs="Times New Roman"/>
          <w:b/>
          <w:bCs/>
          <w:kern w:val="2"/>
          <w:sz w:val="24"/>
          <w:szCs w:val="24"/>
          <w:lang w:val="ru-RU"/>
          <w14:ligatures w14:val="standardContextual"/>
        </w:rPr>
        <w:t xml:space="preserve"> Забор воды в территориальном разрезе по регионам развития Республики Молдова, 20</w:t>
      </w:r>
      <w:r>
        <w:rPr>
          <w:rFonts w:ascii="Times New Roman" w:hAnsi="Times New Roman" w:cs="Times New Roman"/>
          <w:b/>
          <w:bCs/>
          <w:kern w:val="2"/>
          <w:sz w:val="24"/>
          <w:szCs w:val="24"/>
          <w:lang w:val="ru-RU"/>
          <w14:ligatures w14:val="standardContextual"/>
        </w:rPr>
        <w:t>20</w:t>
      </w:r>
      <w:r w:rsidRPr="000C2BE6">
        <w:rPr>
          <w:rFonts w:ascii="Times New Roman" w:hAnsi="Times New Roman" w:cs="Times New Roman"/>
          <w:b/>
          <w:bCs/>
          <w:kern w:val="2"/>
          <w:sz w:val="24"/>
          <w:szCs w:val="24"/>
          <w:lang w:val="ru-RU"/>
          <w14:ligatures w14:val="standardContextual"/>
        </w:rPr>
        <w:t>–2024 гг., млн м³</w:t>
      </w:r>
    </w:p>
    <w:p w:rsidR="00B4537E" w:rsidRPr="000C2BE6" w:rsidRDefault="00B4537E"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95"/>
        <w:gridCol w:w="1319"/>
        <w:gridCol w:w="1319"/>
        <w:gridCol w:w="1319"/>
        <w:gridCol w:w="910"/>
      </w:tblGrid>
      <w:tr w:rsidR="003F5D83" w:rsidRPr="000C2BE6" w:rsidTr="00B4537E">
        <w:trPr>
          <w:trHeight w:val="288"/>
        </w:trPr>
        <w:tc>
          <w:tcPr>
            <w:tcW w:w="2689" w:type="dxa"/>
            <w:hideMark/>
          </w:tcPr>
          <w:p w:rsidR="003F5D83" w:rsidRPr="000C2BE6" w:rsidRDefault="003F5D83" w:rsidP="00B4537E">
            <w:pP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Регион</w:t>
            </w:r>
          </w:p>
        </w:tc>
        <w:tc>
          <w:tcPr>
            <w:tcW w:w="1795" w:type="dxa"/>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2020</w:t>
            </w:r>
          </w:p>
        </w:tc>
        <w:tc>
          <w:tcPr>
            <w:tcW w:w="0" w:type="auto"/>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2021</w:t>
            </w:r>
          </w:p>
        </w:tc>
        <w:tc>
          <w:tcPr>
            <w:tcW w:w="0" w:type="auto"/>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2022</w:t>
            </w:r>
          </w:p>
        </w:tc>
        <w:tc>
          <w:tcPr>
            <w:tcW w:w="0" w:type="auto"/>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2023</w:t>
            </w:r>
          </w:p>
        </w:tc>
        <w:tc>
          <w:tcPr>
            <w:tcW w:w="910" w:type="dxa"/>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2024</w:t>
            </w:r>
          </w:p>
        </w:tc>
      </w:tr>
      <w:tr w:rsidR="003F5D83" w:rsidRPr="000C2BE6" w:rsidTr="00B4537E">
        <w:trPr>
          <w:trHeight w:val="288"/>
        </w:trPr>
        <w:tc>
          <w:tcPr>
            <w:tcW w:w="2689"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eastAsia="Times New Roman" w:hAnsi="Times New Roman" w:cs="Times New Roman"/>
                <w:sz w:val="24"/>
                <w:szCs w:val="24"/>
                <w:lang w:val="ru-RU"/>
              </w:rPr>
              <w:t xml:space="preserve">Всего по стране </w:t>
            </w:r>
          </w:p>
        </w:tc>
        <w:tc>
          <w:tcPr>
            <w:tcW w:w="1795"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160 ,1</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150 ,7</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160 ,0</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158 ,5</w:t>
            </w:r>
          </w:p>
        </w:tc>
        <w:tc>
          <w:tcPr>
            <w:tcW w:w="910"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165 ,0</w:t>
            </w:r>
          </w:p>
        </w:tc>
      </w:tr>
      <w:tr w:rsidR="003F5D83" w:rsidRPr="000C2BE6" w:rsidTr="00B4537E">
        <w:trPr>
          <w:trHeight w:val="288"/>
        </w:trPr>
        <w:tc>
          <w:tcPr>
            <w:tcW w:w="2689" w:type="dxa"/>
            <w:vAlign w:val="center"/>
            <w:hideMark/>
          </w:tcPr>
          <w:p w:rsidR="003F5D83" w:rsidRPr="000C2BE6" w:rsidRDefault="00B4537E" w:rsidP="003F5D83">
            <w:pPr>
              <w:rPr>
                <w:rFonts w:ascii="Times New Roman" w:hAnsi="Times New Roman" w:cs="Times New Roman"/>
                <w:b/>
                <w:bCs/>
                <w:kern w:val="2"/>
                <w:sz w:val="24"/>
                <w:szCs w:val="24"/>
                <w14:ligatures w14:val="standardContextual"/>
              </w:rPr>
            </w:pPr>
            <w:r>
              <w:rPr>
                <w:rFonts w:ascii="Times New Roman" w:hAnsi="Times New Roman" w:cs="Times New Roman"/>
                <w:kern w:val="2"/>
                <w:sz w:val="24"/>
                <w:szCs w:val="24"/>
                <w14:ligatures w14:val="standardContextual"/>
              </w:rPr>
              <w:t xml:space="preserve">РР </w:t>
            </w:r>
            <w:proofErr w:type="spellStart"/>
            <w:r>
              <w:rPr>
                <w:rFonts w:ascii="Times New Roman" w:hAnsi="Times New Roman" w:cs="Times New Roman"/>
                <w:kern w:val="2"/>
                <w:sz w:val="24"/>
                <w:szCs w:val="24"/>
                <w14:ligatures w14:val="standardContextual"/>
              </w:rPr>
              <w:t>Кишинё</w:t>
            </w:r>
            <w:r w:rsidR="003F5D83" w:rsidRPr="000C2BE6">
              <w:rPr>
                <w:rFonts w:ascii="Times New Roman" w:hAnsi="Times New Roman" w:cs="Times New Roman"/>
                <w:kern w:val="2"/>
                <w:sz w:val="24"/>
                <w:szCs w:val="24"/>
                <w14:ligatures w14:val="standardContextual"/>
              </w:rPr>
              <w:t>в</w:t>
            </w:r>
            <w:proofErr w:type="spellEnd"/>
          </w:p>
        </w:tc>
        <w:tc>
          <w:tcPr>
            <w:tcW w:w="1795"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70 ,4</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68 ,2</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68 ,6</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68 ,5</w:t>
            </w:r>
          </w:p>
        </w:tc>
        <w:tc>
          <w:tcPr>
            <w:tcW w:w="910"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72 ,0</w:t>
            </w:r>
          </w:p>
        </w:tc>
      </w:tr>
      <w:tr w:rsidR="003F5D83" w:rsidRPr="000C2BE6" w:rsidTr="00B4537E">
        <w:trPr>
          <w:trHeight w:val="288"/>
        </w:trPr>
        <w:tc>
          <w:tcPr>
            <w:tcW w:w="2689"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Север</w:t>
            </w:r>
            <w:proofErr w:type="spellEnd"/>
          </w:p>
        </w:tc>
        <w:tc>
          <w:tcPr>
            <w:tcW w:w="1795"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35 ,8</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35 ,5</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36 ,1</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35 ,1</w:t>
            </w:r>
          </w:p>
        </w:tc>
        <w:tc>
          <w:tcPr>
            <w:tcW w:w="910"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35 ,7</w:t>
            </w:r>
          </w:p>
        </w:tc>
      </w:tr>
      <w:tr w:rsidR="003F5D83" w:rsidRPr="000C2BE6" w:rsidTr="00B4537E">
        <w:trPr>
          <w:trHeight w:val="288"/>
        </w:trPr>
        <w:tc>
          <w:tcPr>
            <w:tcW w:w="2689"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Центр</w:t>
            </w:r>
            <w:proofErr w:type="spellEnd"/>
          </w:p>
        </w:tc>
        <w:tc>
          <w:tcPr>
            <w:tcW w:w="1795"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34 ,4</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28 ,6</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35 ,4</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34 ,5</w:t>
            </w:r>
          </w:p>
        </w:tc>
        <w:tc>
          <w:tcPr>
            <w:tcW w:w="910"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36 ,7</w:t>
            </w:r>
          </w:p>
        </w:tc>
      </w:tr>
      <w:tr w:rsidR="003F5D83" w:rsidRPr="000C2BE6" w:rsidTr="00B4537E">
        <w:trPr>
          <w:trHeight w:val="288"/>
        </w:trPr>
        <w:tc>
          <w:tcPr>
            <w:tcW w:w="2689"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Юг</w:t>
            </w:r>
            <w:proofErr w:type="spellEnd"/>
          </w:p>
        </w:tc>
        <w:tc>
          <w:tcPr>
            <w:tcW w:w="1795"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15 ,5</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14 ,3</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15 ,8</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16 ,3</w:t>
            </w:r>
          </w:p>
        </w:tc>
        <w:tc>
          <w:tcPr>
            <w:tcW w:w="910"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16 ,6</w:t>
            </w:r>
          </w:p>
        </w:tc>
      </w:tr>
      <w:tr w:rsidR="003F5D83" w:rsidRPr="000C2BE6" w:rsidTr="00B4537E">
        <w:trPr>
          <w:trHeight w:val="288"/>
        </w:trPr>
        <w:tc>
          <w:tcPr>
            <w:tcW w:w="2689"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АТО </w:t>
            </w:r>
            <w:proofErr w:type="spellStart"/>
            <w:r w:rsidRPr="000C2BE6">
              <w:rPr>
                <w:rFonts w:ascii="Times New Roman" w:hAnsi="Times New Roman" w:cs="Times New Roman"/>
                <w:kern w:val="2"/>
                <w:sz w:val="24"/>
                <w:szCs w:val="24"/>
                <w14:ligatures w14:val="standardContextual"/>
              </w:rPr>
              <w:t>Гагаузия</w:t>
            </w:r>
            <w:proofErr w:type="spellEnd"/>
          </w:p>
        </w:tc>
        <w:tc>
          <w:tcPr>
            <w:tcW w:w="1795"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4 ,0</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4 ,1</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4 ,1</w:t>
            </w:r>
          </w:p>
        </w:tc>
        <w:tc>
          <w:tcPr>
            <w:tcW w:w="0" w:type="auto"/>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4 ,1</w:t>
            </w:r>
          </w:p>
        </w:tc>
        <w:tc>
          <w:tcPr>
            <w:tcW w:w="910" w:type="dxa"/>
            <w:noWrap/>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4 ,0</w:t>
            </w:r>
          </w:p>
        </w:tc>
      </w:tr>
    </w:tbl>
    <w:p w:rsidR="003F5D83" w:rsidRPr="00495406"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495406">
        <w:rPr>
          <w:rFonts w:ascii="Times New Roman" w:hAnsi="Times New Roman" w:cs="Times New Roman"/>
          <w:i/>
          <w:iCs/>
          <w:kern w:val="2"/>
          <w:sz w:val="16"/>
          <w:szCs w:val="16"/>
          <w14:ligatures w14:val="standardContextual"/>
        </w:rPr>
        <w:t>Источник</w:t>
      </w:r>
      <w:proofErr w:type="spellEnd"/>
      <w:r w:rsidRPr="00495406">
        <w:rPr>
          <w:rFonts w:ascii="Times New Roman" w:hAnsi="Times New Roman" w:cs="Times New Roman"/>
          <w:i/>
          <w:iCs/>
          <w:kern w:val="2"/>
          <w:sz w:val="16"/>
          <w:szCs w:val="16"/>
          <w14:ligatures w14:val="standardContextual"/>
        </w:rPr>
        <w:t xml:space="preserve">: Banca de date </w:t>
      </w:r>
      <w:proofErr w:type="spellStart"/>
      <w:r w:rsidRPr="00495406">
        <w:rPr>
          <w:rFonts w:ascii="Times New Roman" w:hAnsi="Times New Roman" w:cs="Times New Roman"/>
          <w:i/>
          <w:iCs/>
          <w:kern w:val="2"/>
          <w:sz w:val="16"/>
          <w:szCs w:val="16"/>
          <w14:ligatures w14:val="standardContextual"/>
        </w:rPr>
        <w:t>statistică</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StatBank</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Captarea</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apei</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în</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profil</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teritorial</w:t>
      </w:r>
      <w:proofErr w:type="spellEnd"/>
      <w:r w:rsidRPr="00495406">
        <w:rPr>
          <w:rFonts w:ascii="Times New Roman" w:hAnsi="Times New Roman" w:cs="Times New Roman"/>
          <w:i/>
          <w:iCs/>
          <w:kern w:val="2"/>
          <w:sz w:val="16"/>
          <w:szCs w:val="16"/>
          <w14:ligatures w14:val="standardContextual"/>
        </w:rPr>
        <w:t>, 2008–2024 [</w:t>
      </w:r>
      <w:proofErr w:type="spellStart"/>
      <w:r w:rsidRPr="00495406">
        <w:rPr>
          <w:rFonts w:ascii="Times New Roman" w:hAnsi="Times New Roman" w:cs="Times New Roman"/>
          <w:i/>
          <w:iCs/>
          <w:kern w:val="2"/>
          <w:sz w:val="16"/>
          <w:szCs w:val="16"/>
          <w14:ligatures w14:val="standardContextual"/>
        </w:rPr>
        <w:t>resursă</w:t>
      </w:r>
      <w:proofErr w:type="spellEnd"/>
      <w:r w:rsidRPr="00495406">
        <w:rPr>
          <w:rFonts w:ascii="Times New Roman" w:hAnsi="Times New Roman" w:cs="Times New Roman"/>
          <w:i/>
          <w:iCs/>
          <w:kern w:val="2"/>
          <w:sz w:val="16"/>
          <w:szCs w:val="16"/>
          <w14:ligatures w14:val="standardContextual"/>
        </w:rPr>
        <w:t xml:space="preserve"> </w:t>
      </w:r>
      <w:proofErr w:type="spellStart"/>
      <w:r w:rsidRPr="00495406">
        <w:rPr>
          <w:rFonts w:ascii="Times New Roman" w:hAnsi="Times New Roman" w:cs="Times New Roman"/>
          <w:i/>
          <w:iCs/>
          <w:kern w:val="2"/>
          <w:sz w:val="16"/>
          <w:szCs w:val="16"/>
          <w14:ligatures w14:val="standardContextual"/>
        </w:rPr>
        <w:t>electronică</w:t>
      </w:r>
      <w:proofErr w:type="spellEnd"/>
      <w:r w:rsidRPr="00495406">
        <w:rPr>
          <w:rFonts w:ascii="Times New Roman" w:hAnsi="Times New Roman" w:cs="Times New Roman"/>
          <w:i/>
          <w:iCs/>
          <w:kern w:val="2"/>
          <w:sz w:val="16"/>
          <w:szCs w:val="16"/>
          <w14:ligatures w14:val="standardContextual"/>
        </w:rPr>
        <w:t xml:space="preserve">]. – </w:t>
      </w:r>
      <w:proofErr w:type="spellStart"/>
      <w:r w:rsidRPr="00495406">
        <w:rPr>
          <w:rFonts w:ascii="Times New Roman" w:hAnsi="Times New Roman" w:cs="Times New Roman"/>
          <w:i/>
          <w:iCs/>
          <w:kern w:val="2"/>
          <w:sz w:val="16"/>
          <w:szCs w:val="16"/>
          <w14:ligatures w14:val="standardContextual"/>
        </w:rPr>
        <w:t>Disponibil</w:t>
      </w:r>
      <w:proofErr w:type="spellEnd"/>
      <w:r w:rsidRPr="00495406">
        <w:rPr>
          <w:rFonts w:ascii="Times New Roman" w:hAnsi="Times New Roman" w:cs="Times New Roman"/>
          <w:i/>
          <w:iCs/>
          <w:kern w:val="2"/>
          <w:sz w:val="16"/>
          <w:szCs w:val="16"/>
          <w14:ligatures w14:val="standardContextual"/>
        </w:rPr>
        <w:t>:</w:t>
      </w:r>
    </w:p>
    <w:p w:rsidR="003F5D83" w:rsidRPr="00495406" w:rsidRDefault="00835535" w:rsidP="003F5D83">
      <w:pPr>
        <w:spacing w:after="0" w:line="240" w:lineRule="auto"/>
        <w:ind w:right="-22"/>
        <w:jc w:val="both"/>
        <w:rPr>
          <w:rFonts w:ascii="Times New Roman" w:hAnsi="Times New Roman" w:cs="Times New Roman"/>
          <w:i/>
          <w:iCs/>
          <w:color w:val="0563C1" w:themeColor="hyperlink"/>
          <w:kern w:val="2"/>
          <w:sz w:val="16"/>
          <w:szCs w:val="16"/>
          <w:u w:val="single"/>
          <w14:ligatures w14:val="standardContextual"/>
        </w:rPr>
      </w:pPr>
      <w:hyperlink r:id="rId39" w:tgtFrame="_new" w:history="1">
        <w:r w:rsidR="003F5D83" w:rsidRPr="00495406">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https://statbank.statistica.md/PxWeb/pxweb/ro/60%20Statistica%20regionala/60%20Statistica%20regionala__01%20MED/MED020500reg.px/table/tableViewLayout2/?rxid=5360837a-13b5-4912-a2e0-12892e96d2ab</w:t>
        </w:r>
      </w:hyperlink>
    </w:p>
    <w:p w:rsidR="003F5D83" w:rsidRPr="00F03094" w:rsidRDefault="003F5D83" w:rsidP="003F5D83">
      <w:pPr>
        <w:spacing w:after="0" w:line="240" w:lineRule="auto"/>
        <w:ind w:left="284" w:right="261"/>
        <w:jc w:val="both"/>
        <w:rPr>
          <w:rFonts w:ascii="Times New Roman" w:hAnsi="Times New Roman" w:cs="Times New Roman"/>
          <w:i/>
          <w:iCs/>
          <w:kern w:val="2"/>
          <w:sz w:val="20"/>
          <w:szCs w:val="20"/>
          <w14:ligatures w14:val="standardContextual"/>
        </w:rPr>
      </w:pPr>
    </w:p>
    <w:p w:rsidR="003F5D83" w:rsidRPr="00F03094" w:rsidRDefault="003F5D83" w:rsidP="003F5D83">
      <w:pPr>
        <w:spacing w:after="0" w:line="240" w:lineRule="auto"/>
        <w:ind w:left="284" w:right="261"/>
        <w:jc w:val="both"/>
        <w:rPr>
          <w:rFonts w:ascii="Times New Roman" w:hAnsi="Times New Roman" w:cs="Times New Roman"/>
          <w:i/>
          <w:iCs/>
          <w:kern w:val="2"/>
          <w:sz w:val="20"/>
          <w:szCs w:val="20"/>
          <w14:ligatures w14:val="standardContextual"/>
        </w:rPr>
      </w:pPr>
    </w:p>
    <w:p w:rsidR="003F5D83" w:rsidRPr="007539EF"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7539EF">
        <w:rPr>
          <w:rFonts w:ascii="Times New Roman" w:hAnsi="Times New Roman" w:cs="Times New Roman"/>
          <w:kern w:val="2"/>
          <w:sz w:val="24"/>
          <w:szCs w:val="24"/>
          <w:lang w:val="ru-RU"/>
          <w14:ligatures w14:val="standardContextual"/>
        </w:rPr>
        <w:t>Анализ забора воды в территориальном разрезе показывает, что в 2020–2024 гг. наибольшие объёмы водозабора приходятся на регион Кишинёв (68,2–72,0 млн м³), что связано с высокой концентрацией населения и экономической активности. В целом по стране показатель увеличился с 160,1 до 165,0 млн м³ (на 3,1%), при незначительных колебаниях по годам.</w:t>
      </w:r>
    </w:p>
    <w:p w:rsidR="003F5D83" w:rsidRPr="007539EF"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7539EF">
        <w:rPr>
          <w:rFonts w:ascii="Times New Roman" w:hAnsi="Times New Roman" w:cs="Times New Roman"/>
          <w:kern w:val="2"/>
          <w:sz w:val="24"/>
          <w:szCs w:val="24"/>
          <w:lang w:val="ru-RU"/>
          <w14:ligatures w14:val="standardContextual"/>
        </w:rPr>
        <w:t xml:space="preserve">В регионах Север и Центр объёмы остаются значительными: в Севере они стабильны (около 35–36 млн м³), тогда как в Центре наблюдаются колебания с последующим ростом </w:t>
      </w:r>
      <w:r w:rsidRPr="007539EF">
        <w:rPr>
          <w:rFonts w:ascii="Times New Roman" w:hAnsi="Times New Roman" w:cs="Times New Roman"/>
          <w:kern w:val="2"/>
          <w:sz w:val="24"/>
          <w:szCs w:val="24"/>
          <w:lang w:val="ru-RU"/>
          <w14:ligatures w14:val="standardContextual"/>
        </w:rPr>
        <w:lastRenderedPageBreak/>
        <w:t>до 36,7 млн м³ в 2024 г. В южном регионе фиксируется умеренный рост — с 15,5 до 16,6 млн м³.</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7539EF">
        <w:rPr>
          <w:rFonts w:ascii="Times New Roman" w:hAnsi="Times New Roman" w:cs="Times New Roman"/>
          <w:kern w:val="2"/>
          <w:sz w:val="24"/>
          <w:szCs w:val="24"/>
          <w:lang w:val="ru-RU"/>
          <w14:ligatures w14:val="standardContextual"/>
        </w:rPr>
        <w:t xml:space="preserve">В АТО Гагаузия объём водозабора остаётся наименьшим и практически неизменным — около 4,0–4,1 млн м³, что составляет примерно 2,4% от общего объёма по стране. </w:t>
      </w:r>
    </w:p>
    <w:p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2.19. </w:t>
      </w:r>
      <w:r w:rsidRPr="000C2BE6">
        <w:rPr>
          <w:rFonts w:ascii="Times New Roman" w:hAnsi="Times New Roman" w:cs="Times New Roman"/>
          <w:b/>
          <w:bCs/>
          <w:kern w:val="2"/>
          <w:sz w:val="24"/>
          <w:szCs w:val="24"/>
          <w:lang w:val="ru-RU"/>
          <w14:ligatures w14:val="standardContextual"/>
        </w:rPr>
        <w:t>Использование воды (без повторного и оборотного водопотребления) по регионам развития Республики Молдова, 20</w:t>
      </w:r>
      <w:r>
        <w:rPr>
          <w:rFonts w:ascii="Times New Roman" w:hAnsi="Times New Roman" w:cs="Times New Roman"/>
          <w:b/>
          <w:bCs/>
          <w:kern w:val="2"/>
          <w:sz w:val="24"/>
          <w:szCs w:val="24"/>
          <w:lang w:val="ru-RU"/>
          <w14:ligatures w14:val="standardContextual"/>
        </w:rPr>
        <w:t>20</w:t>
      </w:r>
      <w:r w:rsidRPr="000C2BE6">
        <w:rPr>
          <w:rFonts w:ascii="Times New Roman" w:hAnsi="Times New Roman" w:cs="Times New Roman"/>
          <w:b/>
          <w:bCs/>
          <w:kern w:val="2"/>
          <w:sz w:val="24"/>
          <w:szCs w:val="24"/>
          <w:lang w:val="ru-RU"/>
          <w14:ligatures w14:val="standardContextual"/>
        </w:rPr>
        <w:t>–2024 гг., млн м³</w:t>
      </w:r>
    </w:p>
    <w:p w:rsidR="00B4537E" w:rsidRPr="000C2BE6" w:rsidRDefault="00B4537E"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75"/>
        <w:gridCol w:w="1273"/>
        <w:gridCol w:w="1286"/>
        <w:gridCol w:w="1273"/>
        <w:gridCol w:w="914"/>
      </w:tblGrid>
      <w:tr w:rsidR="003F5D83" w:rsidRPr="000C2BE6" w:rsidTr="00B4537E">
        <w:trPr>
          <w:trHeight w:val="242"/>
        </w:trPr>
        <w:tc>
          <w:tcPr>
            <w:tcW w:w="2830" w:type="dxa"/>
            <w:vAlign w:val="center"/>
            <w:hideMark/>
          </w:tcPr>
          <w:p w:rsidR="003F5D83" w:rsidRPr="000C2BE6" w:rsidRDefault="003F5D83" w:rsidP="00B4537E">
            <w:pP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Регион</w:t>
            </w:r>
          </w:p>
        </w:tc>
        <w:tc>
          <w:tcPr>
            <w:tcW w:w="1775" w:type="dxa"/>
            <w:vAlign w:val="center"/>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2020</w:t>
            </w:r>
          </w:p>
        </w:tc>
        <w:tc>
          <w:tcPr>
            <w:tcW w:w="0" w:type="auto"/>
            <w:vAlign w:val="center"/>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2021</w:t>
            </w:r>
          </w:p>
        </w:tc>
        <w:tc>
          <w:tcPr>
            <w:tcW w:w="0" w:type="auto"/>
            <w:vAlign w:val="center"/>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2022</w:t>
            </w:r>
          </w:p>
        </w:tc>
        <w:tc>
          <w:tcPr>
            <w:tcW w:w="0" w:type="auto"/>
            <w:vAlign w:val="center"/>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2023</w:t>
            </w:r>
          </w:p>
        </w:tc>
        <w:tc>
          <w:tcPr>
            <w:tcW w:w="914" w:type="dxa"/>
            <w:vAlign w:val="center"/>
            <w:hideMark/>
          </w:tcPr>
          <w:p w:rsidR="003F5D83" w:rsidRPr="000C2BE6" w:rsidRDefault="003F5D83" w:rsidP="00B4537E">
            <w:pPr>
              <w:rPr>
                <w:rFonts w:ascii="Times New Roman" w:hAnsi="Times New Roman" w:cs="Times New Roman"/>
                <w:b/>
                <w:bCs/>
                <w:kern w:val="2"/>
                <w:sz w:val="24"/>
                <w:szCs w:val="24"/>
                <w14:ligatures w14:val="standardContextual"/>
              </w:rPr>
            </w:pPr>
            <w:r w:rsidRPr="000C2BE6">
              <w:rPr>
                <w:rFonts w:ascii="Times New Roman" w:hAnsi="Times New Roman" w:cs="Times New Roman"/>
                <w:b/>
                <w:bCs/>
                <w:kern w:val="2"/>
                <w:sz w:val="24"/>
                <w:szCs w:val="24"/>
                <w14:ligatures w14:val="standardContextual"/>
              </w:rPr>
              <w:t>2024</w:t>
            </w:r>
          </w:p>
        </w:tc>
      </w:tr>
      <w:tr w:rsidR="003F5D83" w:rsidRPr="000C2BE6" w:rsidTr="00B4537E">
        <w:trPr>
          <w:trHeight w:val="242"/>
        </w:trPr>
        <w:tc>
          <w:tcPr>
            <w:tcW w:w="2830"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eastAsia="Times New Roman" w:hAnsi="Times New Roman" w:cs="Times New Roman"/>
                <w:sz w:val="24"/>
                <w:szCs w:val="24"/>
                <w:lang w:val="ru-RU"/>
              </w:rPr>
              <w:t>Всего по стране</w:t>
            </w:r>
          </w:p>
        </w:tc>
        <w:tc>
          <w:tcPr>
            <w:tcW w:w="1775"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119,2</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112,9</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120,6</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119,5</w:t>
            </w:r>
          </w:p>
        </w:tc>
        <w:tc>
          <w:tcPr>
            <w:tcW w:w="914"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125,2</w:t>
            </w:r>
          </w:p>
        </w:tc>
      </w:tr>
      <w:tr w:rsidR="003F5D83" w:rsidRPr="000C2BE6" w:rsidTr="00B4537E">
        <w:trPr>
          <w:trHeight w:val="242"/>
        </w:trPr>
        <w:tc>
          <w:tcPr>
            <w:tcW w:w="2830"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00B4537E" w:rsidRPr="000C2BE6">
              <w:rPr>
                <w:rFonts w:ascii="Times New Roman" w:hAnsi="Times New Roman" w:cs="Times New Roman"/>
                <w:kern w:val="2"/>
                <w:sz w:val="24"/>
                <w:szCs w:val="24"/>
                <w14:ligatures w14:val="standardContextual"/>
              </w:rPr>
              <w:t>Кишинёв</w:t>
            </w:r>
            <w:proofErr w:type="spellEnd"/>
          </w:p>
        </w:tc>
        <w:tc>
          <w:tcPr>
            <w:tcW w:w="1775"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47,5</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47,2</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47,4</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46,7</w:t>
            </w:r>
          </w:p>
        </w:tc>
        <w:tc>
          <w:tcPr>
            <w:tcW w:w="914"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48,9</w:t>
            </w:r>
          </w:p>
        </w:tc>
      </w:tr>
      <w:tr w:rsidR="003F5D83" w:rsidRPr="000C2BE6" w:rsidTr="00B4537E">
        <w:trPr>
          <w:trHeight w:val="242"/>
        </w:trPr>
        <w:tc>
          <w:tcPr>
            <w:tcW w:w="2830"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Север</w:t>
            </w:r>
            <w:proofErr w:type="spellEnd"/>
          </w:p>
        </w:tc>
        <w:tc>
          <w:tcPr>
            <w:tcW w:w="1775"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23,9</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24,3</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23,5</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23,6</w:t>
            </w:r>
          </w:p>
        </w:tc>
        <w:tc>
          <w:tcPr>
            <w:tcW w:w="914"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24,5</w:t>
            </w:r>
          </w:p>
        </w:tc>
      </w:tr>
      <w:tr w:rsidR="003F5D83" w:rsidRPr="000C2BE6" w:rsidTr="00B4537E">
        <w:trPr>
          <w:trHeight w:val="242"/>
        </w:trPr>
        <w:tc>
          <w:tcPr>
            <w:tcW w:w="2830"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Центр</w:t>
            </w:r>
            <w:proofErr w:type="spellEnd"/>
          </w:p>
        </w:tc>
        <w:tc>
          <w:tcPr>
            <w:tcW w:w="1775"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31,8</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26,2</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33,2</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32,4</w:t>
            </w:r>
          </w:p>
        </w:tc>
        <w:tc>
          <w:tcPr>
            <w:tcW w:w="914"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34,5</w:t>
            </w:r>
          </w:p>
        </w:tc>
      </w:tr>
      <w:tr w:rsidR="003F5D83" w:rsidRPr="000C2BE6" w:rsidTr="00B4537E">
        <w:trPr>
          <w:trHeight w:val="242"/>
        </w:trPr>
        <w:tc>
          <w:tcPr>
            <w:tcW w:w="2830"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w:t>
            </w:r>
            <w:proofErr w:type="spellStart"/>
            <w:r w:rsidRPr="000C2BE6">
              <w:rPr>
                <w:rFonts w:ascii="Times New Roman" w:hAnsi="Times New Roman" w:cs="Times New Roman"/>
                <w:kern w:val="2"/>
                <w:sz w:val="24"/>
                <w:szCs w:val="24"/>
                <w14:ligatures w14:val="standardContextual"/>
              </w:rPr>
              <w:t>Юг</w:t>
            </w:r>
            <w:proofErr w:type="spellEnd"/>
          </w:p>
        </w:tc>
        <w:tc>
          <w:tcPr>
            <w:tcW w:w="1775"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13,3</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12,3</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13,6</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13,9</w:t>
            </w:r>
          </w:p>
        </w:tc>
        <w:tc>
          <w:tcPr>
            <w:tcW w:w="914"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14,4</w:t>
            </w:r>
          </w:p>
        </w:tc>
      </w:tr>
      <w:tr w:rsidR="003F5D83" w:rsidRPr="000C2BE6" w:rsidTr="00B4537E">
        <w:trPr>
          <w:trHeight w:val="242"/>
        </w:trPr>
        <w:tc>
          <w:tcPr>
            <w:tcW w:w="2830" w:type="dxa"/>
            <w:vAlign w:val="center"/>
            <w:hideMark/>
          </w:tcPr>
          <w:p w:rsidR="003F5D83" w:rsidRPr="000C2BE6" w:rsidRDefault="003F5D83" w:rsidP="003F5D83">
            <w:pPr>
              <w:rPr>
                <w:rFonts w:ascii="Times New Roman" w:hAnsi="Times New Roman" w:cs="Times New Roman"/>
                <w:b/>
                <w:bCs/>
                <w:kern w:val="2"/>
                <w:sz w:val="24"/>
                <w:szCs w:val="24"/>
                <w14:ligatures w14:val="standardContextual"/>
              </w:rPr>
            </w:pPr>
            <w:r w:rsidRPr="000C2BE6">
              <w:rPr>
                <w:rFonts w:ascii="Times New Roman" w:hAnsi="Times New Roman" w:cs="Times New Roman"/>
                <w:kern w:val="2"/>
                <w:sz w:val="24"/>
                <w:szCs w:val="24"/>
                <w14:ligatures w14:val="standardContextual"/>
              </w:rPr>
              <w:t xml:space="preserve">РР АТО </w:t>
            </w:r>
            <w:proofErr w:type="spellStart"/>
            <w:r w:rsidRPr="000C2BE6">
              <w:rPr>
                <w:rFonts w:ascii="Times New Roman" w:hAnsi="Times New Roman" w:cs="Times New Roman"/>
                <w:kern w:val="2"/>
                <w:sz w:val="24"/>
                <w:szCs w:val="24"/>
                <w14:ligatures w14:val="standardContextual"/>
              </w:rPr>
              <w:t>Гагаузия</w:t>
            </w:r>
            <w:proofErr w:type="spellEnd"/>
          </w:p>
        </w:tc>
        <w:tc>
          <w:tcPr>
            <w:tcW w:w="1775"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2,7</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2,9</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2,9</w:t>
            </w:r>
          </w:p>
        </w:tc>
        <w:tc>
          <w:tcPr>
            <w:tcW w:w="0" w:type="auto"/>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2,9</w:t>
            </w:r>
          </w:p>
        </w:tc>
        <w:tc>
          <w:tcPr>
            <w:tcW w:w="914" w:type="dxa"/>
            <w:noWrap/>
            <w:vAlign w:val="bottom"/>
            <w:hideMark/>
          </w:tcPr>
          <w:p w:rsidR="003F5D83" w:rsidRPr="000C2BE6" w:rsidRDefault="003F5D83" w:rsidP="003F5D83">
            <w:pPr>
              <w:jc w:val="right"/>
              <w:rPr>
                <w:rFonts w:ascii="Times New Roman" w:hAnsi="Times New Roman" w:cs="Times New Roman"/>
                <w:kern w:val="2"/>
                <w:sz w:val="24"/>
                <w:szCs w:val="24"/>
                <w14:ligatures w14:val="standardContextual"/>
              </w:rPr>
            </w:pPr>
            <w:r w:rsidRPr="000C2BE6">
              <w:rPr>
                <w:rFonts w:ascii="Times New Roman" w:hAnsi="Times New Roman" w:cs="Times New Roman"/>
                <w:kern w:val="2"/>
                <w:sz w:val="24"/>
                <w:szCs w:val="24"/>
                <w14:ligatures w14:val="standardContextual"/>
              </w:rPr>
              <w:t>2,9</w:t>
            </w:r>
          </w:p>
        </w:tc>
      </w:tr>
    </w:tbl>
    <w:p w:rsidR="003F5D83" w:rsidRPr="006D3B1A"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6D3B1A">
        <w:rPr>
          <w:rFonts w:ascii="Times New Roman" w:hAnsi="Times New Roman" w:cs="Times New Roman"/>
          <w:i/>
          <w:iCs/>
          <w:kern w:val="2"/>
          <w:sz w:val="16"/>
          <w:szCs w:val="16"/>
          <w14:ligatures w14:val="standardContextual"/>
        </w:rPr>
        <w:t>Источник</w:t>
      </w:r>
      <w:proofErr w:type="spellEnd"/>
      <w:r w:rsidRPr="006D3B1A">
        <w:rPr>
          <w:rFonts w:ascii="Times New Roman" w:hAnsi="Times New Roman" w:cs="Times New Roman"/>
          <w:i/>
          <w:iCs/>
          <w:kern w:val="2"/>
          <w:sz w:val="16"/>
          <w:szCs w:val="16"/>
          <w14:ligatures w14:val="standardContextual"/>
        </w:rPr>
        <w:t xml:space="preserve">: Banca de date </w:t>
      </w:r>
      <w:proofErr w:type="spellStart"/>
      <w:r w:rsidRPr="006D3B1A">
        <w:rPr>
          <w:rFonts w:ascii="Times New Roman" w:hAnsi="Times New Roman" w:cs="Times New Roman"/>
          <w:i/>
          <w:iCs/>
          <w:kern w:val="2"/>
          <w:sz w:val="16"/>
          <w:szCs w:val="16"/>
          <w14:ligatures w14:val="standardContextual"/>
        </w:rPr>
        <w:t>statistică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StatBank</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Utilizarea</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apei</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fără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apa</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utilizată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repetat</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și</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prin</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circulație</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închisă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în</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profil</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teritorial</w:t>
      </w:r>
      <w:proofErr w:type="spellEnd"/>
      <w:r w:rsidRPr="006D3B1A">
        <w:rPr>
          <w:rFonts w:ascii="Times New Roman" w:hAnsi="Times New Roman" w:cs="Times New Roman"/>
          <w:i/>
          <w:iCs/>
          <w:kern w:val="2"/>
          <w:sz w:val="16"/>
          <w:szCs w:val="16"/>
          <w14:ligatures w14:val="standardContextual"/>
        </w:rPr>
        <w:t>, 2008–2024 [</w:t>
      </w:r>
      <w:proofErr w:type="spellStart"/>
      <w:r w:rsidRPr="006D3B1A">
        <w:rPr>
          <w:rFonts w:ascii="Times New Roman" w:hAnsi="Times New Roman" w:cs="Times New Roman"/>
          <w:i/>
          <w:iCs/>
          <w:kern w:val="2"/>
          <w:sz w:val="16"/>
          <w:szCs w:val="16"/>
          <w14:ligatures w14:val="standardContextual"/>
        </w:rPr>
        <w:t>resursă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electronică</w:t>
      </w:r>
      <w:proofErr w:type="spellEnd"/>
      <w:r w:rsidRPr="006D3B1A">
        <w:rPr>
          <w:rFonts w:ascii="Times New Roman" w:hAnsi="Times New Roman" w:cs="Times New Roman"/>
          <w:i/>
          <w:iCs/>
          <w:kern w:val="2"/>
          <w:sz w:val="16"/>
          <w:szCs w:val="16"/>
          <w14:ligatures w14:val="standardContextual"/>
        </w:rPr>
        <w:t xml:space="preserve">]. – </w:t>
      </w:r>
      <w:proofErr w:type="spellStart"/>
      <w:r w:rsidRPr="006D3B1A">
        <w:rPr>
          <w:rFonts w:ascii="Times New Roman" w:hAnsi="Times New Roman" w:cs="Times New Roman"/>
          <w:i/>
          <w:iCs/>
          <w:kern w:val="2"/>
          <w:sz w:val="16"/>
          <w:szCs w:val="16"/>
          <w14:ligatures w14:val="standardContextual"/>
        </w:rPr>
        <w:t>Disponibil</w:t>
      </w:r>
      <w:proofErr w:type="spellEnd"/>
      <w:r w:rsidRPr="006D3B1A">
        <w:rPr>
          <w:rFonts w:ascii="Times New Roman" w:hAnsi="Times New Roman" w:cs="Times New Roman"/>
          <w:i/>
          <w:iCs/>
          <w:kern w:val="2"/>
          <w:sz w:val="16"/>
          <w:szCs w:val="16"/>
          <w14:ligatures w14:val="standardContextual"/>
        </w:rPr>
        <w:t>:</w:t>
      </w:r>
    </w:p>
    <w:p w:rsidR="003F5D83" w:rsidRPr="006D3B1A" w:rsidRDefault="00835535" w:rsidP="003F5D83">
      <w:pPr>
        <w:spacing w:after="0" w:line="240" w:lineRule="auto"/>
        <w:ind w:right="-22"/>
        <w:jc w:val="both"/>
        <w:rPr>
          <w:rFonts w:ascii="Times New Roman" w:hAnsi="Times New Roman" w:cs="Times New Roman"/>
          <w:i/>
          <w:iCs/>
          <w:color w:val="0563C1" w:themeColor="hyperlink"/>
          <w:kern w:val="2"/>
          <w:sz w:val="16"/>
          <w:szCs w:val="16"/>
          <w:u w:val="single"/>
          <w14:ligatures w14:val="standardContextual"/>
        </w:rPr>
      </w:pPr>
      <w:hyperlink r:id="rId40" w:tgtFrame="_new" w:history="1">
        <w:r w:rsidR="003F5D83" w:rsidRPr="006D3B1A">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https://statbank.statistica.md/PxWeb/pxweb/ro/60%20Statistica%20regionala/60%20Statistica%20regionala__01%20MED/MED020600reg.px/table/tableViewLayout2/?rxid=5360837a-13b5-4912-a2e0-12892e96d2ab</w:t>
        </w:r>
      </w:hyperlink>
    </w:p>
    <w:p w:rsidR="003F5D83" w:rsidRPr="000C2BE6" w:rsidRDefault="003F5D83" w:rsidP="003F5D83">
      <w:pPr>
        <w:spacing w:after="0" w:line="240" w:lineRule="auto"/>
        <w:ind w:right="-22"/>
        <w:jc w:val="both"/>
        <w:rPr>
          <w:rFonts w:ascii="Times New Roman" w:hAnsi="Times New Roman" w:cs="Times New Roman"/>
          <w:i/>
          <w:iCs/>
          <w:kern w:val="2"/>
          <w:sz w:val="20"/>
          <w:szCs w:val="20"/>
          <w14:ligatures w14:val="standardContextual"/>
        </w:rPr>
      </w:pPr>
    </w:p>
    <w:p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Сопоставление данных по использованию воды показывает, что в 2020–2024 гг. наибольшие объёмы водопотребления сохраняются в регионе Кишинёв (46,7–48,9 млн м³), что обусловлено высокой концентрацией населения и экономической активности. В целом по стране показатель увеличился с 119,2 до 125,2 млн м³, или примерно на 5,0%, при незначительных колебаниях по годам.</w:t>
      </w:r>
    </w:p>
    <w:p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В регионах Север и Центр также фиксируются значительные объёмы водопотребления. В северном регионе показатели остаются относительно стабильными (23,5–24,5 млн м³), тогда как в регионе Центр наблюдаются более выраженные колебания с последующим ростом до 34,5 млн м³ в 2024 г., что связано с активностью аграрного сектора.</w:t>
      </w:r>
    </w:p>
    <w:p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В южном регионе прослеживается умеренный рост использования воды — с 13,3 до 14,4 млн м³, что отражает постепенное увеличение хозяйственной деятельности.</w:t>
      </w:r>
    </w:p>
    <w:p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В АТО Гагаузия объёмы водопотребления остаются наименьшими и стабилизируются на уровне 2,9 млн м³ в 2021–2024 гг. При этом объём забора воды составляет около 4,0 млн м³, что указывает на разрыв между забором и фактическим использованием. Это может быть связано с потерями при транспортировке и износом инфраструктуры.</w:t>
      </w:r>
    </w:p>
    <w:p w:rsidR="003F5D83" w:rsidRPr="00CD77DF" w:rsidRDefault="003F5D83" w:rsidP="003F5D83">
      <w:pPr>
        <w:spacing w:after="0" w:line="240" w:lineRule="auto"/>
        <w:ind w:firstLine="709"/>
        <w:jc w:val="both"/>
        <w:rPr>
          <w:rFonts w:ascii="Times New Roman" w:eastAsia="Times New Roman" w:hAnsi="Times New Roman" w:cs="Times New Roman"/>
          <w:sz w:val="24"/>
          <w:szCs w:val="24"/>
          <w:lang w:val="ru-RU" w:eastAsia="ru-RU"/>
        </w:rPr>
      </w:pPr>
      <w:r w:rsidRPr="00CD77DF">
        <w:rPr>
          <w:rFonts w:ascii="Times New Roman" w:eastAsia="Times New Roman" w:hAnsi="Times New Roman" w:cs="Times New Roman"/>
          <w:sz w:val="24"/>
          <w:szCs w:val="24"/>
          <w:lang w:val="ru-RU" w:eastAsia="ru-RU"/>
        </w:rPr>
        <w:t>В целом различия в уровне использования воды по регионам обусловлены масштабами экономической активности и численностью населения: более развитые регионы демонстрируют более высокие показатели водопотребления.</w:t>
      </w:r>
    </w:p>
    <w:p w:rsidR="003F5D83" w:rsidRDefault="003F5D83" w:rsidP="003F5D83">
      <w:pPr>
        <w:spacing w:after="0" w:line="240" w:lineRule="auto"/>
        <w:ind w:firstLine="567"/>
        <w:jc w:val="both"/>
        <w:rPr>
          <w:rFonts w:ascii="Times New Roman" w:hAnsi="Times New Roman" w:cs="Times New Roman"/>
          <w:b/>
          <w:bCs/>
          <w:i/>
          <w:iCs/>
          <w:kern w:val="2"/>
          <w:sz w:val="24"/>
          <w:szCs w:val="24"/>
          <w:lang w:val="ru-RU"/>
          <w14:ligatures w14:val="standardContextual"/>
        </w:rPr>
      </w:pPr>
    </w:p>
    <w:p w:rsidR="003F5D83" w:rsidRPr="000C2BE6" w:rsidRDefault="00B4537E" w:rsidP="003F5D83">
      <w:pPr>
        <w:spacing w:after="0" w:line="240" w:lineRule="auto"/>
        <w:jc w:val="both"/>
        <w:rPr>
          <w:rFonts w:ascii="Times New Roman" w:hAnsi="Times New Roman" w:cs="Times New Roman"/>
          <w:b/>
          <w:bCs/>
          <w:i/>
          <w:iCs/>
          <w:kern w:val="2"/>
          <w:sz w:val="24"/>
          <w:szCs w:val="24"/>
          <w:lang w:val="ru-RU"/>
          <w14:ligatures w14:val="standardContextual"/>
        </w:rPr>
      </w:pPr>
      <w:r>
        <w:rPr>
          <w:rFonts w:ascii="Times New Roman" w:hAnsi="Times New Roman" w:cs="Times New Roman"/>
          <w:b/>
          <w:bCs/>
          <w:i/>
          <w:iCs/>
          <w:kern w:val="2"/>
          <w:sz w:val="24"/>
          <w:szCs w:val="24"/>
          <w:lang w:val="ru-RU"/>
          <w14:ligatures w14:val="standardContextual"/>
        </w:rPr>
        <w:t>Система</w:t>
      </w:r>
      <w:r w:rsidR="003F5D83" w:rsidRPr="000C2BE6">
        <w:rPr>
          <w:rFonts w:ascii="Times New Roman" w:hAnsi="Times New Roman" w:cs="Times New Roman"/>
          <w:b/>
          <w:bCs/>
          <w:i/>
          <w:iCs/>
          <w:kern w:val="2"/>
          <w:sz w:val="24"/>
          <w:szCs w:val="24"/>
          <w:lang w:val="ru-RU"/>
          <w14:ligatures w14:val="standardContextual"/>
        </w:rPr>
        <w:t xml:space="preserve"> </w:t>
      </w:r>
      <w:r>
        <w:rPr>
          <w:rFonts w:ascii="Times New Roman" w:hAnsi="Times New Roman" w:cs="Times New Roman"/>
          <w:b/>
          <w:bCs/>
          <w:i/>
          <w:iCs/>
          <w:kern w:val="2"/>
          <w:sz w:val="24"/>
          <w:szCs w:val="24"/>
          <w:lang w:val="ru-RU"/>
          <w14:ligatures w14:val="standardContextual"/>
        </w:rPr>
        <w:t>водоотведения</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Оценка инфраструктурного развития требует анализа не только систем водоснабжения, но и канализационной инфраструктуры как важного элемента качества жизни населения. Данные по регионам приведены на рисунке</w:t>
      </w:r>
      <w:r>
        <w:rPr>
          <w:rFonts w:ascii="Times New Roman" w:hAnsi="Times New Roman" w:cs="Times New Roman"/>
          <w:kern w:val="2"/>
          <w:sz w:val="24"/>
          <w:szCs w:val="24"/>
          <w:lang w:val="ru-RU"/>
          <w14:ligatures w14:val="standardContextual"/>
        </w:rPr>
        <w:t xml:space="preserve"> 2.11.</w:t>
      </w:r>
    </w:p>
    <w:p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B4537E" w:rsidRPr="000C2BE6"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0C2BE6" w:rsidRDefault="003F5D83" w:rsidP="003F5D83">
      <w:pPr>
        <w:spacing w:after="0" w:line="278" w:lineRule="auto"/>
        <w:rPr>
          <w:rFonts w:ascii="Arial" w:hAnsi="Arial" w:cs="Arial"/>
          <w:kern w:val="2"/>
          <w:sz w:val="20"/>
          <w:szCs w:val="20"/>
          <w14:ligatures w14:val="standardContextual"/>
        </w:rPr>
      </w:pPr>
      <w:r w:rsidRPr="000C2BE6">
        <w:rPr>
          <w:noProof/>
          <w:kern w:val="2"/>
          <w:sz w:val="24"/>
          <w:szCs w:val="24"/>
          <w:lang w:val="ru-RU" w:eastAsia="ru-RU"/>
          <w14:ligatures w14:val="standardContextual"/>
        </w:rPr>
        <w:lastRenderedPageBreak/>
        <w:drawing>
          <wp:inline distT="0" distB="0" distL="0" distR="0" wp14:anchorId="0DD7114D" wp14:editId="0EBF5D30">
            <wp:extent cx="5934075" cy="2543175"/>
            <wp:effectExtent l="0" t="0" r="0" b="0"/>
            <wp:docPr id="1338194489" name="Диаграмма 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F5D83" w:rsidRPr="000C2BE6"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Рис</w:t>
      </w:r>
      <w:r>
        <w:rPr>
          <w:rFonts w:ascii="Times New Roman" w:hAnsi="Times New Roman" w:cs="Times New Roman"/>
          <w:b/>
          <w:bCs/>
          <w:kern w:val="2"/>
          <w:sz w:val="24"/>
          <w:szCs w:val="24"/>
          <w:lang w:val="ru-RU"/>
          <w14:ligatures w14:val="standardContextual"/>
        </w:rPr>
        <w:t xml:space="preserve">унок 2.11. </w:t>
      </w:r>
      <w:r w:rsidRPr="000C2BE6">
        <w:rPr>
          <w:rFonts w:ascii="Times New Roman" w:hAnsi="Times New Roman" w:cs="Times New Roman"/>
          <w:b/>
          <w:bCs/>
          <w:kern w:val="2"/>
          <w:sz w:val="24"/>
          <w:szCs w:val="24"/>
          <w:lang w:val="ru-RU"/>
          <w14:ligatures w14:val="standardContextual"/>
        </w:rPr>
        <w:t>Доля населенных пунктов</w:t>
      </w:r>
      <w:r w:rsidRPr="000C2BE6">
        <w:rPr>
          <w:rFonts w:ascii="Times New Roman" w:hAnsi="Times New Roman" w:cs="Times New Roman"/>
          <w:kern w:val="2"/>
          <w:sz w:val="24"/>
          <w:szCs w:val="24"/>
          <w:lang w:val="ru-RU"/>
          <w14:ligatures w14:val="standardContextual"/>
        </w:rPr>
        <w:t xml:space="preserve"> </w:t>
      </w:r>
      <w:r w:rsidRPr="000C2BE6">
        <w:rPr>
          <w:rFonts w:ascii="Times New Roman" w:hAnsi="Times New Roman" w:cs="Times New Roman"/>
          <w:b/>
          <w:bCs/>
          <w:kern w:val="2"/>
          <w:sz w:val="24"/>
          <w:szCs w:val="24"/>
          <w:lang w:val="ru-RU"/>
          <w14:ligatures w14:val="standardContextual"/>
        </w:rPr>
        <w:t>с доступом к общественным канализационным системам по регионам развития в 2024 году,%</w:t>
      </w:r>
    </w:p>
    <w:p w:rsidR="003F5D83" w:rsidRDefault="003F5D83" w:rsidP="003F5D83">
      <w:pPr>
        <w:spacing w:after="0" w:line="240" w:lineRule="auto"/>
        <w:ind w:right="120"/>
        <w:jc w:val="both"/>
        <w:rPr>
          <w:rFonts w:ascii="Times New Roman" w:hAnsi="Times New Roman" w:cs="Times New Roman"/>
          <w:i/>
          <w:iCs/>
          <w:kern w:val="2"/>
          <w:sz w:val="16"/>
          <w:szCs w:val="16"/>
          <w14:ligatures w14:val="standardContextual"/>
        </w:rPr>
      </w:pPr>
      <w:proofErr w:type="spellStart"/>
      <w:r w:rsidRPr="006D3B1A">
        <w:rPr>
          <w:rFonts w:ascii="Times New Roman" w:hAnsi="Times New Roman" w:cs="Times New Roman"/>
          <w:i/>
          <w:iCs/>
          <w:kern w:val="2"/>
          <w:sz w:val="16"/>
          <w:szCs w:val="16"/>
          <w14:ligatures w14:val="standardContextual"/>
        </w:rPr>
        <w:t>Источник</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Biroul</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Național</w:t>
      </w:r>
      <w:proofErr w:type="spellEnd"/>
      <w:r w:rsidRPr="006D3B1A">
        <w:rPr>
          <w:rFonts w:ascii="Times New Roman" w:hAnsi="Times New Roman" w:cs="Times New Roman"/>
          <w:i/>
          <w:iCs/>
          <w:kern w:val="2"/>
          <w:sz w:val="16"/>
          <w:szCs w:val="16"/>
          <w14:ligatures w14:val="standardContextual"/>
        </w:rPr>
        <w:t xml:space="preserve"> de </w:t>
      </w:r>
      <w:proofErr w:type="spellStart"/>
      <w:r w:rsidRPr="006D3B1A">
        <w:rPr>
          <w:rFonts w:ascii="Times New Roman" w:hAnsi="Times New Roman" w:cs="Times New Roman"/>
          <w:i/>
          <w:iCs/>
          <w:kern w:val="2"/>
          <w:sz w:val="16"/>
          <w:szCs w:val="16"/>
          <w14:ligatures w14:val="standardContextual"/>
        </w:rPr>
        <w:t>Statistică</w:t>
      </w:r>
      <w:proofErr w:type="spellEnd"/>
      <w:r w:rsidRPr="006D3B1A">
        <w:rPr>
          <w:rFonts w:ascii="Times New Roman" w:hAnsi="Times New Roman" w:cs="Times New Roman"/>
          <w:i/>
          <w:iCs/>
          <w:kern w:val="2"/>
          <w:sz w:val="16"/>
          <w:szCs w:val="16"/>
          <w14:ligatures w14:val="standardContextual"/>
        </w:rPr>
        <w:t xml:space="preserve"> al </w:t>
      </w:r>
      <w:proofErr w:type="spellStart"/>
      <w:r w:rsidRPr="006D3B1A">
        <w:rPr>
          <w:rFonts w:ascii="Times New Roman" w:hAnsi="Times New Roman" w:cs="Times New Roman"/>
          <w:i/>
          <w:iCs/>
          <w:kern w:val="2"/>
          <w:sz w:val="16"/>
          <w:szCs w:val="16"/>
          <w14:ligatures w14:val="standardContextual"/>
        </w:rPr>
        <w:t>Republicii</w:t>
      </w:r>
      <w:proofErr w:type="spellEnd"/>
      <w:r w:rsidRPr="006D3B1A">
        <w:rPr>
          <w:rFonts w:ascii="Times New Roman" w:hAnsi="Times New Roman" w:cs="Times New Roman"/>
          <w:i/>
          <w:iCs/>
          <w:kern w:val="2"/>
          <w:sz w:val="16"/>
          <w:szCs w:val="16"/>
          <w14:ligatures w14:val="standardContextual"/>
        </w:rPr>
        <w:t xml:space="preserve"> Moldova. </w:t>
      </w:r>
      <w:proofErr w:type="spellStart"/>
      <w:r w:rsidRPr="006D3B1A">
        <w:rPr>
          <w:rFonts w:ascii="Times New Roman" w:hAnsi="Times New Roman" w:cs="Times New Roman"/>
          <w:i/>
          <w:iCs/>
          <w:kern w:val="2"/>
          <w:sz w:val="16"/>
          <w:szCs w:val="16"/>
          <w14:ligatures w14:val="standardContextual"/>
        </w:rPr>
        <w:t>Activitatea</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sistemelor</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publice</w:t>
      </w:r>
      <w:proofErr w:type="spellEnd"/>
      <w:r w:rsidRPr="006D3B1A">
        <w:rPr>
          <w:rFonts w:ascii="Times New Roman" w:hAnsi="Times New Roman" w:cs="Times New Roman"/>
          <w:i/>
          <w:iCs/>
          <w:kern w:val="2"/>
          <w:sz w:val="16"/>
          <w:szCs w:val="16"/>
          <w14:ligatures w14:val="standardContextual"/>
        </w:rPr>
        <w:t xml:space="preserve"> de </w:t>
      </w:r>
      <w:proofErr w:type="spellStart"/>
      <w:r w:rsidRPr="006D3B1A">
        <w:rPr>
          <w:rFonts w:ascii="Times New Roman" w:hAnsi="Times New Roman" w:cs="Times New Roman"/>
          <w:i/>
          <w:iCs/>
          <w:kern w:val="2"/>
          <w:sz w:val="16"/>
          <w:szCs w:val="16"/>
          <w14:ligatures w14:val="standardContextual"/>
        </w:rPr>
        <w:t>alimentare</w:t>
      </w:r>
      <w:proofErr w:type="spellEnd"/>
      <w:r w:rsidRPr="006D3B1A">
        <w:rPr>
          <w:rFonts w:ascii="Times New Roman" w:hAnsi="Times New Roman" w:cs="Times New Roman"/>
          <w:i/>
          <w:iCs/>
          <w:kern w:val="2"/>
          <w:sz w:val="16"/>
          <w:szCs w:val="16"/>
          <w14:ligatures w14:val="standardContextual"/>
        </w:rPr>
        <w:t xml:space="preserve"> cu </w:t>
      </w:r>
      <w:proofErr w:type="spellStart"/>
      <w:r w:rsidRPr="006D3B1A">
        <w:rPr>
          <w:rFonts w:ascii="Times New Roman" w:hAnsi="Times New Roman" w:cs="Times New Roman"/>
          <w:i/>
          <w:iCs/>
          <w:kern w:val="2"/>
          <w:sz w:val="16"/>
          <w:szCs w:val="16"/>
          <w14:ligatures w14:val="standardContextual"/>
        </w:rPr>
        <w:t>apă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și</w:t>
      </w:r>
      <w:proofErr w:type="spellEnd"/>
      <w:r w:rsidRPr="006D3B1A">
        <w:rPr>
          <w:rFonts w:ascii="Times New Roman" w:hAnsi="Times New Roman" w:cs="Times New Roman"/>
          <w:i/>
          <w:iCs/>
          <w:kern w:val="2"/>
          <w:sz w:val="16"/>
          <w:szCs w:val="16"/>
          <w14:ligatures w14:val="standardContextual"/>
        </w:rPr>
        <w:t xml:space="preserve"> de </w:t>
      </w:r>
      <w:proofErr w:type="spellStart"/>
      <w:r w:rsidRPr="006D3B1A">
        <w:rPr>
          <w:rFonts w:ascii="Times New Roman" w:hAnsi="Times New Roman" w:cs="Times New Roman"/>
          <w:i/>
          <w:iCs/>
          <w:kern w:val="2"/>
          <w:sz w:val="16"/>
          <w:szCs w:val="16"/>
          <w14:ligatures w14:val="standardContextual"/>
        </w:rPr>
        <w:t>canalizare</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în</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anul</w:t>
      </w:r>
      <w:proofErr w:type="spellEnd"/>
      <w:r w:rsidRPr="006D3B1A">
        <w:rPr>
          <w:rFonts w:ascii="Times New Roman" w:hAnsi="Times New Roman" w:cs="Times New Roman"/>
          <w:i/>
          <w:iCs/>
          <w:kern w:val="2"/>
          <w:sz w:val="16"/>
          <w:szCs w:val="16"/>
          <w14:ligatures w14:val="standardContextual"/>
        </w:rPr>
        <w:t xml:space="preserve"> 2024 [</w:t>
      </w:r>
      <w:proofErr w:type="spellStart"/>
      <w:r w:rsidRPr="006D3B1A">
        <w:rPr>
          <w:rFonts w:ascii="Times New Roman" w:hAnsi="Times New Roman" w:cs="Times New Roman"/>
          <w:i/>
          <w:iCs/>
          <w:kern w:val="2"/>
          <w:sz w:val="16"/>
          <w:szCs w:val="16"/>
          <w14:ligatures w14:val="standardContextual"/>
        </w:rPr>
        <w:t>resursă</w:t>
      </w:r>
      <w:proofErr w:type="spellEnd"/>
      <w:r w:rsidRPr="006D3B1A">
        <w:rPr>
          <w:rFonts w:ascii="Times New Roman" w:hAnsi="Times New Roman" w:cs="Times New Roman"/>
          <w:i/>
          <w:iCs/>
          <w:kern w:val="2"/>
          <w:sz w:val="16"/>
          <w:szCs w:val="16"/>
          <w14:ligatures w14:val="standardContextual"/>
        </w:rPr>
        <w:t xml:space="preserve"> </w:t>
      </w:r>
      <w:proofErr w:type="spellStart"/>
      <w:r w:rsidRPr="006D3B1A">
        <w:rPr>
          <w:rFonts w:ascii="Times New Roman" w:hAnsi="Times New Roman" w:cs="Times New Roman"/>
          <w:i/>
          <w:iCs/>
          <w:kern w:val="2"/>
          <w:sz w:val="16"/>
          <w:szCs w:val="16"/>
          <w14:ligatures w14:val="standardContextual"/>
        </w:rPr>
        <w:t>electronică</w:t>
      </w:r>
      <w:proofErr w:type="spellEnd"/>
      <w:r w:rsidRPr="006D3B1A">
        <w:rPr>
          <w:rFonts w:ascii="Times New Roman" w:hAnsi="Times New Roman" w:cs="Times New Roman"/>
          <w:i/>
          <w:iCs/>
          <w:kern w:val="2"/>
          <w:sz w:val="16"/>
          <w:szCs w:val="16"/>
          <w14:ligatures w14:val="standardContextual"/>
        </w:rPr>
        <w:t xml:space="preserve">]. – </w:t>
      </w:r>
      <w:proofErr w:type="spellStart"/>
      <w:r w:rsidRPr="006D3B1A">
        <w:rPr>
          <w:rFonts w:ascii="Times New Roman" w:hAnsi="Times New Roman" w:cs="Times New Roman"/>
          <w:i/>
          <w:iCs/>
          <w:kern w:val="2"/>
          <w:sz w:val="16"/>
          <w:szCs w:val="16"/>
          <w14:ligatures w14:val="standardContextual"/>
        </w:rPr>
        <w:t>Disponibil</w:t>
      </w:r>
      <w:proofErr w:type="spellEnd"/>
      <w:r w:rsidRPr="006D3B1A">
        <w:rPr>
          <w:rFonts w:ascii="Times New Roman" w:hAnsi="Times New Roman" w:cs="Times New Roman"/>
          <w:i/>
          <w:iCs/>
          <w:kern w:val="2"/>
          <w:sz w:val="16"/>
          <w:szCs w:val="16"/>
          <w14:ligatures w14:val="standardContextual"/>
        </w:rPr>
        <w:t xml:space="preserve">: </w:t>
      </w:r>
      <w:hyperlink r:id="rId42" w:tgtFrame="_new" w:history="1">
        <w:proofErr w:type="spellStart"/>
        <w:r w:rsidRPr="006D3B1A">
          <w:rPr>
            <w:rFonts w:ascii="Times New Roman" w:hAnsi="Times New Roman" w:cs="Times New Roman"/>
            <w:i/>
            <w:iCs/>
            <w:color w:val="0563C1" w:themeColor="hyperlink"/>
            <w:kern w:val="2"/>
            <w:sz w:val="16"/>
            <w:szCs w:val="16"/>
            <w:u w:val="single"/>
            <w14:ligatures w14:val="standardContextual"/>
          </w:rPr>
          <w:t>Accesează</w:t>
        </w:r>
        <w:proofErr w:type="spellEnd"/>
        <w:r w:rsidRPr="006D3B1A">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6D3B1A">
          <w:rPr>
            <w:rFonts w:ascii="Times New Roman" w:hAnsi="Times New Roman" w:cs="Times New Roman"/>
            <w:i/>
            <w:iCs/>
            <w:color w:val="0563C1" w:themeColor="hyperlink"/>
            <w:kern w:val="2"/>
            <w:sz w:val="16"/>
            <w:szCs w:val="16"/>
            <w:u w:val="single"/>
            <w14:ligatures w14:val="standardContextual"/>
          </w:rPr>
          <w:t>sursa</w:t>
        </w:r>
        <w:proofErr w:type="spellEnd"/>
      </w:hyperlink>
      <w:r w:rsidRPr="006D3B1A">
        <w:rPr>
          <w:rFonts w:ascii="Times New Roman" w:hAnsi="Times New Roman" w:cs="Times New Roman"/>
          <w:i/>
          <w:iCs/>
          <w:kern w:val="2"/>
          <w:sz w:val="16"/>
          <w:szCs w:val="16"/>
          <w14:ligatures w14:val="standardContextual"/>
        </w:rPr>
        <w:t xml:space="preserve"> </w:t>
      </w:r>
    </w:p>
    <w:p w:rsidR="00B4537E" w:rsidRDefault="00B4537E" w:rsidP="003F5D83">
      <w:pPr>
        <w:spacing w:after="0" w:line="240" w:lineRule="auto"/>
        <w:ind w:right="120"/>
        <w:jc w:val="both"/>
        <w:rPr>
          <w:rFonts w:ascii="Times New Roman" w:hAnsi="Times New Roman" w:cs="Times New Roman"/>
          <w:i/>
          <w:iCs/>
          <w:kern w:val="2"/>
          <w:sz w:val="16"/>
          <w:szCs w:val="16"/>
          <w14:ligatures w14:val="standardContextual"/>
        </w:rPr>
      </w:pPr>
    </w:p>
    <w:p w:rsidR="00AB68D4" w:rsidRPr="006D3B1A" w:rsidRDefault="00AB68D4" w:rsidP="003F5D83">
      <w:pPr>
        <w:spacing w:after="0" w:line="240" w:lineRule="auto"/>
        <w:ind w:right="120"/>
        <w:jc w:val="both"/>
        <w:rPr>
          <w:rFonts w:ascii="Times New Roman" w:hAnsi="Times New Roman" w:cs="Times New Roman"/>
          <w:i/>
          <w:iCs/>
          <w:kern w:val="2"/>
          <w:sz w:val="16"/>
          <w:szCs w:val="16"/>
          <w14:ligatures w14:val="standardContextual"/>
        </w:rPr>
      </w:pP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Анализ данных показывает, что уровень обеспеченности населённых пунктов системами канализации в Республике Молдова остаётся крайне низким и составляет всего 9,9%, что свидетельствует о значительном отставании от современных европейских стандартов.</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На этом фоне АТО Гагаузия демонстрирует относительно более высокий показатель — 28,1%, что превышает среднереспубликанский уровень почти в 3 раза. Однако, несмотря на это, уровень обеспеченности остаётся недостаточным и указывает на ограниченное развитие канализационной инфраструктуры в регионе.</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Для сравнения, в регионе Центр данный показатель составляет 11,5%, в регионе Юг — 7,5%, а в регионе Север — всего 5,1%, что подтверждает общий низкий уровень развития канализационных систем в стране. Даже в муниципии Кишинёв, где зафиксировано наибольшее значение — 65,7%, уровень обеспеченности не достигает стандартов развитых европейских стран.</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Однако, статистические данные НБС и исследования АРР имеют некоторые расхождения в показателе процента доли населенных пунктов к с доступом к общественным канализационным системам.</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Так, согласно исследованию Агентства Регионального Развития АТО Гагаузия, система централизованного водоотведения в АТО Гагаузия развита существенно слабее по сравнению с водоснабжением. Так, в регионе насчитывается 26 населённых пунктов, из которых лишь в 10 функционируют канализационные сети (Комрат, Чадыр-Лунга, Вулканешты, </w:t>
      </w:r>
      <w:proofErr w:type="spellStart"/>
      <w:r w:rsidRPr="000C2BE6">
        <w:rPr>
          <w:rFonts w:ascii="Times New Roman" w:hAnsi="Times New Roman" w:cs="Times New Roman"/>
          <w:kern w:val="2"/>
          <w:sz w:val="24"/>
          <w:szCs w:val="24"/>
          <w:lang w:val="ru-RU"/>
          <w14:ligatures w14:val="standardContextual"/>
        </w:rPr>
        <w:t>Авдарма</w:t>
      </w:r>
      <w:proofErr w:type="spellEnd"/>
      <w:r w:rsidRPr="000C2BE6">
        <w:rPr>
          <w:rFonts w:ascii="Times New Roman" w:hAnsi="Times New Roman" w:cs="Times New Roman"/>
          <w:kern w:val="2"/>
          <w:sz w:val="24"/>
          <w:szCs w:val="24"/>
          <w:lang w:val="ru-RU"/>
          <w14:ligatures w14:val="standardContextual"/>
        </w:rPr>
        <w:t xml:space="preserve">, Буджак, Русская </w:t>
      </w:r>
      <w:proofErr w:type="spellStart"/>
      <w:r w:rsidRPr="000C2BE6">
        <w:rPr>
          <w:rFonts w:ascii="Times New Roman" w:hAnsi="Times New Roman" w:cs="Times New Roman"/>
          <w:kern w:val="2"/>
          <w:sz w:val="24"/>
          <w:szCs w:val="24"/>
          <w:lang w:val="ru-RU"/>
          <w14:ligatures w14:val="standardContextual"/>
        </w:rPr>
        <w:t>Киселия</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Казаклия</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Томай</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Светлый), что составляет 38,5 % от общего числа. Ещё в одном населённом пункте (</w:t>
      </w:r>
      <w:proofErr w:type="spellStart"/>
      <w:r w:rsidRPr="000C2BE6">
        <w:rPr>
          <w:rFonts w:ascii="Times New Roman" w:hAnsi="Times New Roman" w:cs="Times New Roman"/>
          <w:kern w:val="2"/>
          <w:sz w:val="24"/>
          <w:szCs w:val="24"/>
          <w:lang w:val="ru-RU"/>
          <w14:ligatures w14:val="standardContextual"/>
        </w:rPr>
        <w:t>Конгазчикул</w:t>
      </w:r>
      <w:proofErr w:type="spellEnd"/>
      <w:r w:rsidRPr="000C2BE6">
        <w:rPr>
          <w:rFonts w:ascii="Times New Roman" w:hAnsi="Times New Roman" w:cs="Times New Roman"/>
          <w:kern w:val="2"/>
          <w:sz w:val="24"/>
          <w:szCs w:val="24"/>
          <w:lang w:val="ru-RU"/>
          <w14:ligatures w14:val="standardContextual"/>
        </w:rPr>
        <w:t xml:space="preserve"> де </w:t>
      </w:r>
      <w:proofErr w:type="spellStart"/>
      <w:r w:rsidRPr="000C2BE6">
        <w:rPr>
          <w:rFonts w:ascii="Times New Roman" w:hAnsi="Times New Roman" w:cs="Times New Roman"/>
          <w:kern w:val="2"/>
          <w:sz w:val="24"/>
          <w:szCs w:val="24"/>
          <w:lang w:val="ru-RU"/>
          <w14:ligatures w14:val="standardContextual"/>
        </w:rPr>
        <w:t>Сус</w:t>
      </w:r>
      <w:proofErr w:type="spellEnd"/>
      <w:r w:rsidRPr="000C2BE6">
        <w:rPr>
          <w:rFonts w:ascii="Times New Roman" w:hAnsi="Times New Roman" w:cs="Times New Roman"/>
          <w:kern w:val="2"/>
          <w:sz w:val="24"/>
          <w:szCs w:val="24"/>
          <w:lang w:val="ru-RU"/>
          <w14:ligatures w14:val="standardContextual"/>
        </w:rPr>
        <w:t>) система находится на стадии завершения, что потенциально увеличивает охват до 42,3 %. Таким образом, в 15 из 26 населённых пунктов (57,7%) централизованная канализация полностью отсутствует, что указывает на системный инфраструктурный дефицит, особенно в сельской местности.</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Кроме того, в населённых пунктах, где канализационные сети функционируют, уровень подключения населения остаётся ограниченным. Так, в Чадыр-Лунге к системе подключено 12 298 человек, что составляет около 76,7% населения, тогда как в Вулканештах — 3 954 из 12 054 (32,8%), в Светлом — 480 из 1 347 (35,6%), в </w:t>
      </w:r>
      <w:proofErr w:type="spellStart"/>
      <w:r w:rsidRPr="000C2BE6">
        <w:rPr>
          <w:rFonts w:ascii="Times New Roman" w:hAnsi="Times New Roman" w:cs="Times New Roman"/>
          <w:kern w:val="2"/>
          <w:sz w:val="24"/>
          <w:szCs w:val="24"/>
          <w:lang w:val="ru-RU"/>
          <w14:ligatures w14:val="standardContextual"/>
        </w:rPr>
        <w:t>Копчаке</w:t>
      </w:r>
      <w:proofErr w:type="spellEnd"/>
      <w:r w:rsidRPr="000C2BE6">
        <w:rPr>
          <w:rFonts w:ascii="Times New Roman" w:hAnsi="Times New Roman" w:cs="Times New Roman"/>
          <w:kern w:val="2"/>
          <w:sz w:val="24"/>
          <w:szCs w:val="24"/>
          <w:lang w:val="ru-RU"/>
          <w14:ligatures w14:val="standardContextual"/>
        </w:rPr>
        <w:t xml:space="preserve"> — 1 072 из 7 207 (14,9%), а в </w:t>
      </w:r>
      <w:proofErr w:type="spellStart"/>
      <w:r w:rsidRPr="000C2BE6">
        <w:rPr>
          <w:rFonts w:ascii="Times New Roman" w:hAnsi="Times New Roman" w:cs="Times New Roman"/>
          <w:kern w:val="2"/>
          <w:sz w:val="24"/>
          <w:szCs w:val="24"/>
          <w:lang w:val="ru-RU"/>
          <w14:ligatures w14:val="standardContextual"/>
        </w:rPr>
        <w:t>Авдарме</w:t>
      </w:r>
      <w:proofErr w:type="spellEnd"/>
      <w:r w:rsidRPr="000C2BE6">
        <w:rPr>
          <w:rFonts w:ascii="Times New Roman" w:hAnsi="Times New Roman" w:cs="Times New Roman"/>
          <w:kern w:val="2"/>
          <w:sz w:val="24"/>
          <w:szCs w:val="24"/>
          <w:lang w:val="ru-RU"/>
          <w14:ligatures w14:val="standardContextual"/>
        </w:rPr>
        <w:t xml:space="preserve"> — лишь 265 из 2 707 (около 9,8%). Более высокий уровень охвата наблюдается в Русской </w:t>
      </w:r>
      <w:proofErr w:type="spellStart"/>
      <w:r w:rsidRPr="000C2BE6">
        <w:rPr>
          <w:rFonts w:ascii="Times New Roman" w:hAnsi="Times New Roman" w:cs="Times New Roman"/>
          <w:kern w:val="2"/>
          <w:sz w:val="24"/>
          <w:szCs w:val="24"/>
          <w:lang w:val="ru-RU"/>
          <w14:ligatures w14:val="standardContextual"/>
        </w:rPr>
        <w:t>Киселии</w:t>
      </w:r>
      <w:proofErr w:type="spellEnd"/>
      <w:r w:rsidRPr="000C2BE6">
        <w:rPr>
          <w:rFonts w:ascii="Times New Roman" w:hAnsi="Times New Roman" w:cs="Times New Roman"/>
          <w:kern w:val="2"/>
          <w:sz w:val="24"/>
          <w:szCs w:val="24"/>
          <w:lang w:val="ru-RU"/>
          <w14:ligatures w14:val="standardContextual"/>
        </w:rPr>
        <w:t xml:space="preserve"> — 330 из 533 жителей (61,9%), однако это, скорее, исключение. Таким образом, в большинстве населённых пунктов фактический уровень </w:t>
      </w:r>
      <w:r w:rsidRPr="000C2BE6">
        <w:rPr>
          <w:rFonts w:ascii="Times New Roman" w:hAnsi="Times New Roman" w:cs="Times New Roman"/>
          <w:kern w:val="2"/>
          <w:sz w:val="24"/>
          <w:szCs w:val="24"/>
          <w:lang w:val="ru-RU"/>
          <w14:ligatures w14:val="standardContextual"/>
        </w:rPr>
        <w:lastRenderedPageBreak/>
        <w:t>подключения не превышает 40%, а в ряде случаев остаётся ниже 15%. Это свидетельствует о том, что наличие канализационной инфраструктуры не обеспечивает её полного использования. Ограниченный охват может быть обусловлен как техническими причинами (недостаточная протяжённость сетей), так и экономическими факторами, включая затраты на подключение домохозяйств.</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Обеспеченность очистными сооружениями в регионе также остаётся ограниченной. Согласно данным, очистными сооружениями располагают 9 из 26 населённых пунктов (Комрат, Чадыр-Лунга, Вулканешты, </w:t>
      </w:r>
      <w:proofErr w:type="spellStart"/>
      <w:r w:rsidRPr="000C2BE6">
        <w:rPr>
          <w:rFonts w:ascii="Times New Roman" w:hAnsi="Times New Roman" w:cs="Times New Roman"/>
          <w:kern w:val="2"/>
          <w:sz w:val="24"/>
          <w:szCs w:val="24"/>
          <w:lang w:val="ru-RU"/>
          <w14:ligatures w14:val="standardContextual"/>
        </w:rPr>
        <w:t>Авдарма</w:t>
      </w:r>
      <w:proofErr w:type="spellEnd"/>
      <w:r w:rsidRPr="000C2BE6">
        <w:rPr>
          <w:rFonts w:ascii="Times New Roman" w:hAnsi="Times New Roman" w:cs="Times New Roman"/>
          <w:kern w:val="2"/>
          <w:sz w:val="24"/>
          <w:szCs w:val="24"/>
          <w:lang w:val="ru-RU"/>
          <w14:ligatures w14:val="standardContextual"/>
        </w:rPr>
        <w:t xml:space="preserve">, Буджак, Русская </w:t>
      </w:r>
      <w:proofErr w:type="spellStart"/>
      <w:r w:rsidRPr="000C2BE6">
        <w:rPr>
          <w:rFonts w:ascii="Times New Roman" w:hAnsi="Times New Roman" w:cs="Times New Roman"/>
          <w:kern w:val="2"/>
          <w:sz w:val="24"/>
          <w:szCs w:val="24"/>
          <w:lang w:val="ru-RU"/>
          <w14:ligatures w14:val="standardContextual"/>
        </w:rPr>
        <w:t>Киселия</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xml:space="preserve">, </w:t>
      </w:r>
      <w:proofErr w:type="spellStart"/>
      <w:r w:rsidRPr="000C2BE6">
        <w:rPr>
          <w:rFonts w:ascii="Times New Roman" w:hAnsi="Times New Roman" w:cs="Times New Roman"/>
          <w:kern w:val="2"/>
          <w:sz w:val="24"/>
          <w:szCs w:val="24"/>
          <w:lang w:val="ru-RU"/>
          <w14:ligatures w14:val="standardContextual"/>
        </w:rPr>
        <w:t>Ферапонтьевка</w:t>
      </w:r>
      <w:proofErr w:type="spellEnd"/>
      <w:r w:rsidRPr="000C2BE6">
        <w:rPr>
          <w:rFonts w:ascii="Times New Roman" w:hAnsi="Times New Roman" w:cs="Times New Roman"/>
          <w:kern w:val="2"/>
          <w:sz w:val="24"/>
          <w:szCs w:val="24"/>
          <w:lang w:val="ru-RU"/>
          <w14:ligatures w14:val="standardContextual"/>
        </w:rPr>
        <w:t>, Светлый), что составляет 34,6% от общего количества, при этом, не все из них функционируют.</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Помимо этого, наблюдается несбалансированность развития инфраструктуры. В частности, в </w:t>
      </w:r>
      <w:proofErr w:type="spellStart"/>
      <w:r w:rsidRPr="000C2BE6">
        <w:rPr>
          <w:rFonts w:ascii="Times New Roman" w:hAnsi="Times New Roman" w:cs="Times New Roman"/>
          <w:kern w:val="2"/>
          <w:sz w:val="24"/>
          <w:szCs w:val="24"/>
          <w:lang w:val="ru-RU"/>
          <w14:ligatures w14:val="standardContextual"/>
        </w:rPr>
        <w:t>Ферапонтьевке</w:t>
      </w:r>
      <w:proofErr w:type="spellEnd"/>
      <w:r w:rsidRPr="000C2BE6">
        <w:rPr>
          <w:rFonts w:ascii="Times New Roman" w:hAnsi="Times New Roman" w:cs="Times New Roman"/>
          <w:kern w:val="2"/>
          <w:sz w:val="24"/>
          <w:szCs w:val="24"/>
          <w:lang w:val="ru-RU"/>
          <w14:ligatures w14:val="standardContextual"/>
        </w:rPr>
        <w:t xml:space="preserve"> очистные сооружения имеются, однако централизованная канализация отсутствует, что существенно ограничивает эффективность их использования. В то же время в </w:t>
      </w:r>
      <w:proofErr w:type="spellStart"/>
      <w:r w:rsidRPr="000C2BE6">
        <w:rPr>
          <w:rFonts w:ascii="Times New Roman" w:hAnsi="Times New Roman" w:cs="Times New Roman"/>
          <w:kern w:val="2"/>
          <w:sz w:val="24"/>
          <w:szCs w:val="24"/>
          <w:lang w:val="ru-RU"/>
          <w14:ligatures w14:val="standardContextual"/>
        </w:rPr>
        <w:t>Копчаке</w:t>
      </w:r>
      <w:proofErr w:type="spellEnd"/>
      <w:r w:rsidRPr="000C2BE6">
        <w:rPr>
          <w:rFonts w:ascii="Times New Roman" w:hAnsi="Times New Roman" w:cs="Times New Roman"/>
          <w:kern w:val="2"/>
          <w:sz w:val="24"/>
          <w:szCs w:val="24"/>
          <w:lang w:val="ru-RU"/>
          <w14:ligatures w14:val="standardContextual"/>
        </w:rPr>
        <w:t xml:space="preserve"> и Светлом, где присутствуют и канализация, и очистные сооружения, уровень подключения населения остаётся относительно низким (</w:t>
      </w:r>
      <w:proofErr w:type="spellStart"/>
      <w:r w:rsidRPr="000C2BE6">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xml:space="preserve"> — около 14,9%, Светлый — около 35,6%), что также указывает на неполную загрузку мощностей.</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 xml:space="preserve">Дополнительной проблемой является неоднородность сроков эксплуатации очистных сооружений. В Комрате (1988 г.) и Чадыр-Лунге (1989 г.) существуют устаревшие системы, которые не функционируют и требуют модернизации. В то же время, в некоторых населённых пунктах реализованы более современные проекты (Вулканешты — 2014 г., </w:t>
      </w:r>
      <w:proofErr w:type="spellStart"/>
      <w:r w:rsidRPr="000C2BE6">
        <w:rPr>
          <w:rFonts w:ascii="Times New Roman" w:hAnsi="Times New Roman" w:cs="Times New Roman"/>
          <w:kern w:val="2"/>
          <w:sz w:val="24"/>
          <w:szCs w:val="24"/>
          <w:lang w:val="ru-RU"/>
          <w14:ligatures w14:val="standardContextual"/>
        </w:rPr>
        <w:t>Копчак</w:t>
      </w:r>
      <w:proofErr w:type="spellEnd"/>
      <w:r w:rsidRPr="000C2BE6">
        <w:rPr>
          <w:rFonts w:ascii="Times New Roman" w:hAnsi="Times New Roman" w:cs="Times New Roman"/>
          <w:kern w:val="2"/>
          <w:sz w:val="24"/>
          <w:szCs w:val="24"/>
          <w:lang w:val="ru-RU"/>
          <w14:ligatures w14:val="standardContextual"/>
        </w:rPr>
        <w:t xml:space="preserve"> — 2018 г., Буджак — 2021 г., Светлый — 2022 г.), что свидетельствует о начавшемся, но пока ограниченном процессе обновления инфраструктуры. Таким образом, обеспеченность очистными сооружениями остаётся неравномерной. В ряде случаев инфраструктура функционирует неэффективно из-за отсутствия канализационных сетей или низкого уровня подключения населения, что снижает общий эффект от реализованных инвестиций в сектор водоотведения.</w:t>
      </w:r>
    </w:p>
    <w:p w:rsidR="003F5D83" w:rsidRPr="000C2BE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Полученные результаты свидетельствуют о том, что уровень доступа к безопасным и устойчивым услугам водоснабжения и водоотведения в регионе не соответствует в полной мере целям устойчивого развития, в частности Цели 6, принятой Организацией Объединённых Наций в рамках Повестки дня в области устойчивого развития до 2030 года</w:t>
      </w:r>
      <w:r w:rsidRPr="000C2BE6">
        <w:rPr>
          <w:rFonts w:ascii="Times New Roman" w:hAnsi="Times New Roman" w:cs="Times New Roman"/>
          <w:kern w:val="2"/>
          <w:sz w:val="24"/>
          <w:szCs w:val="24"/>
          <w:vertAlign w:val="superscript"/>
          <w:lang w:val="ru-RU"/>
          <w14:ligatures w14:val="standardContextual"/>
        </w:rPr>
        <w:footnoteReference w:id="3"/>
      </w:r>
      <w:r w:rsidRPr="000C2BE6">
        <w:rPr>
          <w:rFonts w:ascii="Times New Roman" w:hAnsi="Times New Roman" w:cs="Times New Roman"/>
          <w:kern w:val="2"/>
          <w:sz w:val="24"/>
          <w:szCs w:val="24"/>
          <w:lang w:val="ru-RU"/>
          <w14:ligatures w14:val="standardContextual"/>
        </w:rPr>
        <w:t>. Данная цель направлена на обеспечение всеобщего доступа к безопасной питьевой воде, санитарии и эффективному управлению водными ресурсами, включая сокращение объёмов неочищенных сточных вод и повышение эффективности использования воды.</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Несмотря на высокий уровень охвата водоснабжением, низкая обеспеченность канализацией (38,5% населённых пунктов) и ограниченный доступ к очистке сточных вод (34,6%) указывают на необходимость ускоренного развития инфраструктуры водоотведения. Для приближения к стандартам Европейского союза требуется комплексная модернизация систем, направленная на расширение канализационных сетей, повышение уровня подключения населения и снижение потерь воды, что позволит обеспечить более устойчивое и экологически безопасное развитие региона.</w:t>
      </w:r>
    </w:p>
    <w:p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F03094" w:rsidRDefault="003F5D83" w:rsidP="00B4537E">
      <w:pPr>
        <w:spacing w:after="0" w:line="240" w:lineRule="auto"/>
        <w:jc w:val="both"/>
        <w:rPr>
          <w:rFonts w:ascii="Times New Roman" w:hAnsi="Times New Roman" w:cs="Times New Roman"/>
          <w:b/>
          <w:bCs/>
          <w:i/>
          <w:iCs/>
          <w:kern w:val="2"/>
          <w:sz w:val="24"/>
          <w:szCs w:val="24"/>
          <w:lang w:val="ru-RU"/>
          <w14:ligatures w14:val="standardContextual"/>
        </w:rPr>
      </w:pPr>
      <w:r w:rsidRPr="00F03094">
        <w:rPr>
          <w:rFonts w:ascii="Times New Roman" w:hAnsi="Times New Roman" w:cs="Times New Roman"/>
          <w:b/>
          <w:bCs/>
          <w:i/>
          <w:iCs/>
          <w:kern w:val="2"/>
          <w:sz w:val="24"/>
          <w:szCs w:val="24"/>
          <w:lang w:val="ru-RU"/>
          <w14:ligatures w14:val="standardContextual"/>
        </w:rPr>
        <w:t>Управление бытовыми отходами</w:t>
      </w:r>
    </w:p>
    <w:p w:rsidR="003F5D83" w:rsidRDefault="003F5D83" w:rsidP="00B4537E">
      <w:pPr>
        <w:spacing w:after="0" w:line="240" w:lineRule="auto"/>
        <w:jc w:val="both"/>
        <w:rPr>
          <w:rFonts w:ascii="Times New Roman" w:hAnsi="Times New Roman" w:cs="Times New Roman"/>
          <w:sz w:val="24"/>
          <w:szCs w:val="24"/>
          <w:lang w:val="ru-RU"/>
        </w:rPr>
      </w:pPr>
      <w:r w:rsidRPr="009F0276">
        <w:rPr>
          <w:rFonts w:ascii="Times New Roman" w:hAnsi="Times New Roman" w:cs="Times New Roman"/>
          <w:sz w:val="24"/>
          <w:szCs w:val="24"/>
          <w:lang w:val="ru-RU"/>
        </w:rPr>
        <w:t>Комплексная оценка инфраструктурного развития требует также анализа системы управления отходами, включая сбор и вывоз мусора (таб</w:t>
      </w:r>
      <w:r>
        <w:rPr>
          <w:rFonts w:ascii="Times New Roman" w:hAnsi="Times New Roman" w:cs="Times New Roman"/>
          <w:sz w:val="24"/>
          <w:szCs w:val="24"/>
          <w:lang w:val="ru-RU"/>
        </w:rPr>
        <w:t>лица 2.20</w:t>
      </w:r>
      <w:r w:rsidRPr="009F0276">
        <w:rPr>
          <w:rFonts w:ascii="Times New Roman" w:hAnsi="Times New Roman" w:cs="Times New Roman"/>
          <w:sz w:val="24"/>
          <w:szCs w:val="24"/>
          <w:lang w:val="ru-RU"/>
        </w:rPr>
        <w:t>)</w:t>
      </w:r>
      <w:r>
        <w:rPr>
          <w:rFonts w:ascii="Times New Roman" w:hAnsi="Times New Roman" w:cs="Times New Roman"/>
          <w:sz w:val="24"/>
          <w:szCs w:val="24"/>
          <w:lang w:val="ru-RU"/>
        </w:rPr>
        <w:t>.</w:t>
      </w:r>
    </w:p>
    <w:p w:rsidR="00BD6565" w:rsidRDefault="00BD6565" w:rsidP="003F5D83">
      <w:pPr>
        <w:spacing w:after="0"/>
        <w:jc w:val="center"/>
        <w:rPr>
          <w:rFonts w:ascii="Times New Roman" w:hAnsi="Times New Roman" w:cs="Times New Roman"/>
          <w:b/>
          <w:bCs/>
          <w:sz w:val="24"/>
          <w:szCs w:val="24"/>
          <w:lang w:val="ru-RU"/>
        </w:rPr>
      </w:pPr>
    </w:p>
    <w:p w:rsidR="00BD6565" w:rsidRDefault="00BD6565" w:rsidP="003F5D83">
      <w:pPr>
        <w:spacing w:after="0"/>
        <w:jc w:val="center"/>
        <w:rPr>
          <w:rFonts w:ascii="Times New Roman" w:hAnsi="Times New Roman" w:cs="Times New Roman"/>
          <w:b/>
          <w:bCs/>
          <w:sz w:val="24"/>
          <w:szCs w:val="24"/>
          <w:lang w:val="ru-RU"/>
        </w:rPr>
      </w:pPr>
    </w:p>
    <w:p w:rsidR="00BD6565" w:rsidRDefault="00BD6565" w:rsidP="003F5D83">
      <w:pPr>
        <w:spacing w:after="0"/>
        <w:jc w:val="center"/>
        <w:rPr>
          <w:rFonts w:ascii="Times New Roman" w:hAnsi="Times New Roman" w:cs="Times New Roman"/>
          <w:b/>
          <w:bCs/>
          <w:sz w:val="24"/>
          <w:szCs w:val="24"/>
          <w:lang w:val="ru-RU"/>
        </w:rPr>
      </w:pPr>
    </w:p>
    <w:p w:rsidR="003F5D83" w:rsidRDefault="003F5D83" w:rsidP="003F5D83">
      <w:pPr>
        <w:spacing w:after="0"/>
        <w:jc w:val="center"/>
        <w:rPr>
          <w:rFonts w:ascii="Times New Roman" w:hAnsi="Times New Roman" w:cs="Times New Roman"/>
          <w:b/>
          <w:bCs/>
          <w:sz w:val="24"/>
          <w:szCs w:val="24"/>
          <w:lang w:val="ru-RU"/>
        </w:rPr>
      </w:pPr>
      <w:r w:rsidRPr="009F0276">
        <w:rPr>
          <w:rFonts w:ascii="Times New Roman" w:hAnsi="Times New Roman" w:cs="Times New Roman"/>
          <w:b/>
          <w:bCs/>
          <w:sz w:val="24"/>
          <w:szCs w:val="24"/>
          <w:lang w:val="ru-RU"/>
        </w:rPr>
        <w:lastRenderedPageBreak/>
        <w:t>Таблица</w:t>
      </w:r>
      <w:r>
        <w:rPr>
          <w:rFonts w:ascii="Times New Roman" w:hAnsi="Times New Roman" w:cs="Times New Roman"/>
          <w:b/>
          <w:bCs/>
          <w:sz w:val="24"/>
          <w:szCs w:val="24"/>
          <w:lang w:val="ru-RU"/>
        </w:rPr>
        <w:t xml:space="preserve"> 2.20.</w:t>
      </w:r>
      <w:r w:rsidRPr="009F0276">
        <w:rPr>
          <w:rFonts w:ascii="Times New Roman" w:hAnsi="Times New Roman" w:cs="Times New Roman"/>
          <w:b/>
          <w:bCs/>
          <w:sz w:val="24"/>
          <w:szCs w:val="24"/>
          <w:lang w:val="ru-RU"/>
        </w:rPr>
        <w:t xml:space="preserve"> Показатели сбора муниципальных отходов по регионам Республики Молдова в 2019–2021 гг. </w:t>
      </w:r>
    </w:p>
    <w:p w:rsidR="00B4537E" w:rsidRPr="009F0276" w:rsidRDefault="00B4537E" w:rsidP="003F5D83">
      <w:pPr>
        <w:spacing w:after="0"/>
        <w:jc w:val="center"/>
        <w:rPr>
          <w:rFonts w:ascii="Times New Roman" w:hAnsi="Times New Roman" w:cs="Times New Roman"/>
          <w:b/>
          <w:bCs/>
          <w:sz w:val="24"/>
          <w:szCs w:val="24"/>
          <w:lang w:val="ru-RU"/>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863"/>
        <w:gridCol w:w="820"/>
        <w:gridCol w:w="827"/>
        <w:gridCol w:w="958"/>
        <w:gridCol w:w="848"/>
        <w:gridCol w:w="925"/>
        <w:gridCol w:w="974"/>
        <w:gridCol w:w="1050"/>
        <w:gridCol w:w="989"/>
      </w:tblGrid>
      <w:tr w:rsidR="003F5D83" w:rsidRPr="0005655F" w:rsidTr="00B4537E">
        <w:trPr>
          <w:trHeight w:val="1309"/>
        </w:trPr>
        <w:tc>
          <w:tcPr>
            <w:tcW w:w="1183" w:type="dxa"/>
            <w:vMerge w:val="restart"/>
            <w:vAlign w:val="center"/>
            <w:hideMark/>
          </w:tcPr>
          <w:p w:rsidR="003F5D83" w:rsidRPr="003E18E4" w:rsidRDefault="003F5D83" w:rsidP="003F5D83">
            <w:pPr>
              <w:jc w:val="center"/>
              <w:rPr>
                <w:rFonts w:ascii="Times New Roman" w:hAnsi="Times New Roman" w:cs="Times New Roman"/>
                <w:b/>
                <w:bCs/>
                <w:lang w:val="ru-RU"/>
              </w:rPr>
            </w:pPr>
            <w:r w:rsidRPr="003E18E4">
              <w:rPr>
                <w:rFonts w:ascii="Times New Roman" w:hAnsi="Times New Roman" w:cs="Times New Roman"/>
                <w:b/>
                <w:bCs/>
                <w:lang w:val="ru-RU"/>
              </w:rPr>
              <w:t>Регион</w:t>
            </w:r>
          </w:p>
        </w:tc>
        <w:tc>
          <w:tcPr>
            <w:tcW w:w="2510" w:type="dxa"/>
            <w:gridSpan w:val="3"/>
            <w:vAlign w:val="center"/>
            <w:hideMark/>
          </w:tcPr>
          <w:p w:rsidR="003F5D83" w:rsidRPr="003E18E4" w:rsidRDefault="003F5D83" w:rsidP="003F5D83">
            <w:pPr>
              <w:jc w:val="center"/>
              <w:rPr>
                <w:rFonts w:ascii="Times New Roman" w:hAnsi="Times New Roman" w:cs="Times New Roman"/>
                <w:b/>
                <w:bCs/>
                <w:lang w:val="ru-RU"/>
              </w:rPr>
            </w:pPr>
            <w:r w:rsidRPr="003E18E4">
              <w:rPr>
                <w:rFonts w:ascii="Times New Roman" w:hAnsi="Times New Roman" w:cs="Times New Roman"/>
                <w:b/>
                <w:bCs/>
                <w:lang w:val="ru-RU"/>
              </w:rPr>
              <w:t>Количество транспортных средств, используемых в санитарных работах, в единицах</w:t>
            </w:r>
          </w:p>
        </w:tc>
        <w:tc>
          <w:tcPr>
            <w:tcW w:w="2731" w:type="dxa"/>
            <w:gridSpan w:val="3"/>
            <w:vAlign w:val="center"/>
            <w:hideMark/>
          </w:tcPr>
          <w:p w:rsidR="003F5D83" w:rsidRPr="003E18E4" w:rsidRDefault="003F5D83" w:rsidP="003F5D83">
            <w:pPr>
              <w:jc w:val="center"/>
              <w:rPr>
                <w:rFonts w:ascii="Times New Roman" w:hAnsi="Times New Roman" w:cs="Times New Roman"/>
                <w:b/>
                <w:bCs/>
                <w:lang w:val="ru-RU"/>
              </w:rPr>
            </w:pPr>
            <w:r w:rsidRPr="003E18E4">
              <w:rPr>
                <w:rFonts w:ascii="Times New Roman" w:hAnsi="Times New Roman" w:cs="Times New Roman"/>
                <w:b/>
                <w:bCs/>
                <w:lang w:val="ru-RU"/>
              </w:rPr>
              <w:t>Муниципальные отходы, собранные от населения, учреждений и экономических субъектов, тысячи м</w:t>
            </w:r>
            <w:r w:rsidRPr="003E18E4">
              <w:rPr>
                <w:rFonts w:ascii="Times New Roman" w:hAnsi="Times New Roman" w:cs="Times New Roman"/>
                <w:b/>
                <w:bCs/>
                <w:vertAlign w:val="superscript"/>
                <w:lang w:val="ru-RU"/>
              </w:rPr>
              <w:t>3</w:t>
            </w:r>
            <w:r w:rsidRPr="003E18E4">
              <w:rPr>
                <w:rFonts w:ascii="Times New Roman" w:hAnsi="Times New Roman" w:cs="Times New Roman"/>
                <w:b/>
                <w:bCs/>
                <w:lang w:val="ru-RU"/>
              </w:rPr>
              <w:t>.</w:t>
            </w:r>
          </w:p>
        </w:tc>
        <w:tc>
          <w:tcPr>
            <w:tcW w:w="3013" w:type="dxa"/>
            <w:gridSpan w:val="3"/>
            <w:vAlign w:val="center"/>
            <w:hideMark/>
          </w:tcPr>
          <w:p w:rsidR="003F5D83" w:rsidRPr="003E18E4" w:rsidRDefault="003F5D83" w:rsidP="003F5D83">
            <w:pPr>
              <w:jc w:val="center"/>
              <w:rPr>
                <w:rFonts w:ascii="Times New Roman" w:hAnsi="Times New Roman" w:cs="Times New Roman"/>
                <w:b/>
                <w:bCs/>
                <w:lang w:val="ru-RU"/>
              </w:rPr>
            </w:pPr>
            <w:r w:rsidRPr="003E18E4">
              <w:rPr>
                <w:rFonts w:ascii="Times New Roman" w:hAnsi="Times New Roman" w:cs="Times New Roman"/>
                <w:b/>
                <w:bCs/>
                <w:lang w:val="ru-RU"/>
              </w:rPr>
              <w:t>Муниципальные отходы, собранные от населения, тысяча м</w:t>
            </w:r>
            <w:r w:rsidRPr="003E18E4">
              <w:rPr>
                <w:rFonts w:ascii="Times New Roman" w:hAnsi="Times New Roman" w:cs="Times New Roman"/>
                <w:b/>
                <w:bCs/>
                <w:vertAlign w:val="superscript"/>
                <w:lang w:val="ru-RU"/>
              </w:rPr>
              <w:t>3</w:t>
            </w:r>
            <w:r w:rsidRPr="003E18E4">
              <w:rPr>
                <w:rFonts w:ascii="Times New Roman" w:hAnsi="Times New Roman" w:cs="Times New Roman"/>
                <w:b/>
                <w:bCs/>
                <w:lang w:val="ru-RU"/>
              </w:rPr>
              <w:t>.</w:t>
            </w:r>
          </w:p>
        </w:tc>
      </w:tr>
      <w:tr w:rsidR="003F5D83" w:rsidRPr="00A5338D" w:rsidTr="00B4537E">
        <w:trPr>
          <w:trHeight w:val="124"/>
        </w:trPr>
        <w:tc>
          <w:tcPr>
            <w:tcW w:w="1183" w:type="dxa"/>
            <w:vMerge/>
            <w:hideMark/>
          </w:tcPr>
          <w:p w:rsidR="003F5D83" w:rsidRPr="00A5338D" w:rsidRDefault="003F5D83" w:rsidP="003F5D83">
            <w:pPr>
              <w:rPr>
                <w:rFonts w:ascii="Times New Roman" w:hAnsi="Times New Roman" w:cs="Times New Roman"/>
                <w:lang w:val="ru-RU"/>
              </w:rPr>
            </w:pPr>
          </w:p>
        </w:tc>
        <w:tc>
          <w:tcPr>
            <w:tcW w:w="863" w:type="dxa"/>
            <w:hideMark/>
          </w:tcPr>
          <w:p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2019</w:t>
            </w:r>
          </w:p>
        </w:tc>
        <w:tc>
          <w:tcPr>
            <w:tcW w:w="820" w:type="dxa"/>
            <w:hideMark/>
          </w:tcPr>
          <w:p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2020</w:t>
            </w:r>
          </w:p>
        </w:tc>
        <w:tc>
          <w:tcPr>
            <w:tcW w:w="826" w:type="dxa"/>
            <w:hideMark/>
          </w:tcPr>
          <w:p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2021</w:t>
            </w:r>
          </w:p>
        </w:tc>
        <w:tc>
          <w:tcPr>
            <w:tcW w:w="958" w:type="dxa"/>
            <w:hideMark/>
          </w:tcPr>
          <w:p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2019</w:t>
            </w:r>
          </w:p>
        </w:tc>
        <w:tc>
          <w:tcPr>
            <w:tcW w:w="848" w:type="dxa"/>
            <w:hideMark/>
          </w:tcPr>
          <w:p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2020</w:t>
            </w:r>
          </w:p>
        </w:tc>
        <w:tc>
          <w:tcPr>
            <w:tcW w:w="925" w:type="dxa"/>
            <w:hideMark/>
          </w:tcPr>
          <w:p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2021</w:t>
            </w:r>
          </w:p>
        </w:tc>
        <w:tc>
          <w:tcPr>
            <w:tcW w:w="974" w:type="dxa"/>
            <w:hideMark/>
          </w:tcPr>
          <w:p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2019</w:t>
            </w:r>
          </w:p>
        </w:tc>
        <w:tc>
          <w:tcPr>
            <w:tcW w:w="1050" w:type="dxa"/>
            <w:hideMark/>
          </w:tcPr>
          <w:p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2020</w:t>
            </w:r>
          </w:p>
        </w:tc>
        <w:tc>
          <w:tcPr>
            <w:tcW w:w="987" w:type="dxa"/>
            <w:hideMark/>
          </w:tcPr>
          <w:p w:rsidR="003F5D83" w:rsidRPr="00A5338D" w:rsidRDefault="003F5D83" w:rsidP="003F5D83">
            <w:pPr>
              <w:jc w:val="center"/>
              <w:rPr>
                <w:rFonts w:ascii="Times New Roman" w:hAnsi="Times New Roman" w:cs="Times New Roman"/>
                <w:b/>
                <w:bCs/>
              </w:rPr>
            </w:pPr>
            <w:r w:rsidRPr="00A5338D">
              <w:rPr>
                <w:rFonts w:ascii="Times New Roman" w:hAnsi="Times New Roman" w:cs="Times New Roman"/>
                <w:b/>
                <w:bCs/>
              </w:rPr>
              <w:t>2021</w:t>
            </w:r>
          </w:p>
        </w:tc>
      </w:tr>
      <w:tr w:rsidR="003F5D83" w:rsidRPr="00A5338D" w:rsidTr="00B4537E">
        <w:trPr>
          <w:trHeight w:val="429"/>
        </w:trPr>
        <w:tc>
          <w:tcPr>
            <w:tcW w:w="1183" w:type="dxa"/>
            <w:hideMark/>
          </w:tcPr>
          <w:p w:rsidR="003F5D83" w:rsidRPr="00A5338D" w:rsidRDefault="003F5D83" w:rsidP="003F5D83">
            <w:pPr>
              <w:rPr>
                <w:rFonts w:ascii="Times New Roman" w:hAnsi="Times New Roman" w:cs="Times New Roman"/>
              </w:rPr>
            </w:pPr>
            <w:proofErr w:type="spellStart"/>
            <w:r w:rsidRPr="00A5338D">
              <w:rPr>
                <w:rFonts w:ascii="Times New Roman" w:hAnsi="Times New Roman" w:cs="Times New Roman"/>
              </w:rPr>
              <w:t>Всего</w:t>
            </w:r>
            <w:proofErr w:type="spellEnd"/>
            <w:r w:rsidRPr="00A5338D">
              <w:rPr>
                <w:rFonts w:ascii="Times New Roman" w:hAnsi="Times New Roman" w:cs="Times New Roman"/>
              </w:rPr>
              <w:t xml:space="preserve"> </w:t>
            </w:r>
            <w:proofErr w:type="spellStart"/>
            <w:r w:rsidRPr="00A5338D">
              <w:rPr>
                <w:rFonts w:ascii="Times New Roman" w:hAnsi="Times New Roman" w:cs="Times New Roman"/>
              </w:rPr>
              <w:t>по</w:t>
            </w:r>
            <w:proofErr w:type="spellEnd"/>
            <w:r w:rsidRPr="00A5338D">
              <w:rPr>
                <w:rFonts w:ascii="Times New Roman" w:hAnsi="Times New Roman" w:cs="Times New Roman"/>
              </w:rPr>
              <w:t xml:space="preserve"> </w:t>
            </w:r>
            <w:proofErr w:type="spellStart"/>
            <w:r w:rsidRPr="00A5338D">
              <w:rPr>
                <w:rFonts w:ascii="Times New Roman" w:hAnsi="Times New Roman" w:cs="Times New Roman"/>
              </w:rPr>
              <w:t>стране</w:t>
            </w:r>
            <w:proofErr w:type="spellEnd"/>
            <w:r w:rsidRPr="00A5338D">
              <w:rPr>
                <w:rFonts w:ascii="Times New Roman" w:hAnsi="Times New Roman" w:cs="Times New Roman"/>
              </w:rPr>
              <w:t xml:space="preserve"> </w:t>
            </w:r>
          </w:p>
        </w:tc>
        <w:tc>
          <w:tcPr>
            <w:tcW w:w="863"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866</w:t>
            </w:r>
          </w:p>
        </w:tc>
        <w:tc>
          <w:tcPr>
            <w:tcW w:w="82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885</w:t>
            </w:r>
          </w:p>
        </w:tc>
        <w:tc>
          <w:tcPr>
            <w:tcW w:w="826"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975</w:t>
            </w:r>
          </w:p>
        </w:tc>
        <w:tc>
          <w:tcPr>
            <w:tcW w:w="95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3 204,0</w:t>
            </w:r>
          </w:p>
        </w:tc>
        <w:tc>
          <w:tcPr>
            <w:tcW w:w="84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3336,3</w:t>
            </w:r>
          </w:p>
        </w:tc>
        <w:tc>
          <w:tcPr>
            <w:tcW w:w="925"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3311,4</w:t>
            </w:r>
          </w:p>
        </w:tc>
        <w:tc>
          <w:tcPr>
            <w:tcW w:w="974"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2 102,9</w:t>
            </w:r>
          </w:p>
        </w:tc>
        <w:tc>
          <w:tcPr>
            <w:tcW w:w="105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2 217,5</w:t>
            </w:r>
          </w:p>
        </w:tc>
        <w:tc>
          <w:tcPr>
            <w:tcW w:w="987"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2 188,7</w:t>
            </w:r>
          </w:p>
        </w:tc>
      </w:tr>
      <w:tr w:rsidR="003F5D83" w:rsidRPr="00A5338D" w:rsidTr="00B4537E">
        <w:trPr>
          <w:trHeight w:val="438"/>
        </w:trPr>
        <w:tc>
          <w:tcPr>
            <w:tcW w:w="1183" w:type="dxa"/>
            <w:hideMark/>
          </w:tcPr>
          <w:p w:rsidR="003F5D83" w:rsidRPr="00A5338D" w:rsidRDefault="003F5D83" w:rsidP="003F5D83">
            <w:pPr>
              <w:rPr>
                <w:rFonts w:ascii="Times New Roman" w:hAnsi="Times New Roman" w:cs="Times New Roman"/>
                <w:lang w:val="ru-RU"/>
              </w:rPr>
            </w:pPr>
            <w:r w:rsidRPr="00A5338D">
              <w:rPr>
                <w:rFonts w:ascii="Times New Roman" w:hAnsi="Times New Roman" w:cs="Times New Roman"/>
                <w:lang w:val="ru-RU"/>
              </w:rPr>
              <w:t>РР Кишинев</w:t>
            </w:r>
          </w:p>
        </w:tc>
        <w:tc>
          <w:tcPr>
            <w:tcW w:w="863"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278</w:t>
            </w:r>
          </w:p>
        </w:tc>
        <w:tc>
          <w:tcPr>
            <w:tcW w:w="82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258</w:t>
            </w:r>
          </w:p>
        </w:tc>
        <w:tc>
          <w:tcPr>
            <w:tcW w:w="826"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287</w:t>
            </w:r>
          </w:p>
        </w:tc>
        <w:tc>
          <w:tcPr>
            <w:tcW w:w="95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1,894,2</w:t>
            </w:r>
          </w:p>
        </w:tc>
        <w:tc>
          <w:tcPr>
            <w:tcW w:w="84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1,945,2</w:t>
            </w:r>
          </w:p>
        </w:tc>
        <w:tc>
          <w:tcPr>
            <w:tcW w:w="925"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1 850,0</w:t>
            </w:r>
          </w:p>
        </w:tc>
        <w:tc>
          <w:tcPr>
            <w:tcW w:w="974"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1 229,7</w:t>
            </w:r>
          </w:p>
        </w:tc>
        <w:tc>
          <w:tcPr>
            <w:tcW w:w="105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1 289,9</w:t>
            </w:r>
          </w:p>
        </w:tc>
        <w:tc>
          <w:tcPr>
            <w:tcW w:w="987"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1 201,9</w:t>
            </w:r>
          </w:p>
        </w:tc>
      </w:tr>
      <w:tr w:rsidR="003F5D83" w:rsidRPr="00A5338D" w:rsidTr="00B4537E">
        <w:trPr>
          <w:trHeight w:val="218"/>
        </w:trPr>
        <w:tc>
          <w:tcPr>
            <w:tcW w:w="1183" w:type="dxa"/>
            <w:hideMark/>
          </w:tcPr>
          <w:p w:rsidR="003F5D83" w:rsidRPr="00A5338D" w:rsidRDefault="003F5D83" w:rsidP="003F5D83">
            <w:pPr>
              <w:rPr>
                <w:rFonts w:ascii="Times New Roman" w:hAnsi="Times New Roman" w:cs="Times New Roman"/>
              </w:rPr>
            </w:pPr>
            <w:r w:rsidRPr="00A5338D">
              <w:rPr>
                <w:rFonts w:ascii="Times New Roman" w:hAnsi="Times New Roman" w:cs="Times New Roman"/>
                <w:lang w:val="ru-RU"/>
              </w:rPr>
              <w:t xml:space="preserve">РР </w:t>
            </w:r>
            <w:proofErr w:type="spellStart"/>
            <w:r w:rsidRPr="00A5338D">
              <w:rPr>
                <w:rFonts w:ascii="Times New Roman" w:hAnsi="Times New Roman" w:cs="Times New Roman"/>
              </w:rPr>
              <w:t>Север</w:t>
            </w:r>
            <w:proofErr w:type="spellEnd"/>
          </w:p>
        </w:tc>
        <w:tc>
          <w:tcPr>
            <w:tcW w:w="863"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223</w:t>
            </w:r>
          </w:p>
        </w:tc>
        <w:tc>
          <w:tcPr>
            <w:tcW w:w="82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228</w:t>
            </w:r>
          </w:p>
        </w:tc>
        <w:tc>
          <w:tcPr>
            <w:tcW w:w="826"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249</w:t>
            </w:r>
          </w:p>
        </w:tc>
        <w:tc>
          <w:tcPr>
            <w:tcW w:w="95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465,7</w:t>
            </w:r>
          </w:p>
        </w:tc>
        <w:tc>
          <w:tcPr>
            <w:tcW w:w="84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502,4</w:t>
            </w:r>
          </w:p>
        </w:tc>
        <w:tc>
          <w:tcPr>
            <w:tcW w:w="925"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491,5</w:t>
            </w:r>
          </w:p>
        </w:tc>
        <w:tc>
          <w:tcPr>
            <w:tcW w:w="974"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319,9</w:t>
            </w:r>
          </w:p>
        </w:tc>
        <w:tc>
          <w:tcPr>
            <w:tcW w:w="105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352,5</w:t>
            </w:r>
          </w:p>
        </w:tc>
        <w:tc>
          <w:tcPr>
            <w:tcW w:w="987"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335,0</w:t>
            </w:r>
          </w:p>
        </w:tc>
      </w:tr>
      <w:tr w:rsidR="003F5D83" w:rsidRPr="00A5338D" w:rsidTr="00B4537E">
        <w:trPr>
          <w:trHeight w:val="218"/>
        </w:trPr>
        <w:tc>
          <w:tcPr>
            <w:tcW w:w="1183" w:type="dxa"/>
            <w:hideMark/>
          </w:tcPr>
          <w:p w:rsidR="003F5D83" w:rsidRPr="00A5338D" w:rsidRDefault="003F5D83" w:rsidP="003F5D83">
            <w:pPr>
              <w:rPr>
                <w:rFonts w:ascii="Times New Roman" w:hAnsi="Times New Roman" w:cs="Times New Roman"/>
              </w:rPr>
            </w:pPr>
            <w:r w:rsidRPr="00A5338D">
              <w:rPr>
                <w:rFonts w:ascii="Times New Roman" w:hAnsi="Times New Roman" w:cs="Times New Roman"/>
                <w:lang w:val="ru-RU"/>
              </w:rPr>
              <w:t xml:space="preserve">РР </w:t>
            </w:r>
            <w:proofErr w:type="spellStart"/>
            <w:r w:rsidRPr="00A5338D">
              <w:rPr>
                <w:rFonts w:ascii="Times New Roman" w:hAnsi="Times New Roman" w:cs="Times New Roman"/>
              </w:rPr>
              <w:t>Центр</w:t>
            </w:r>
            <w:proofErr w:type="spellEnd"/>
          </w:p>
        </w:tc>
        <w:tc>
          <w:tcPr>
            <w:tcW w:w="863"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193</w:t>
            </w:r>
          </w:p>
        </w:tc>
        <w:tc>
          <w:tcPr>
            <w:tcW w:w="82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208</w:t>
            </w:r>
          </w:p>
        </w:tc>
        <w:tc>
          <w:tcPr>
            <w:tcW w:w="826"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232</w:t>
            </w:r>
          </w:p>
        </w:tc>
        <w:tc>
          <w:tcPr>
            <w:tcW w:w="95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445,1</w:t>
            </w:r>
          </w:p>
        </w:tc>
        <w:tc>
          <w:tcPr>
            <w:tcW w:w="84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491,9</w:t>
            </w:r>
          </w:p>
        </w:tc>
        <w:tc>
          <w:tcPr>
            <w:tcW w:w="925"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504,7</w:t>
            </w:r>
          </w:p>
        </w:tc>
        <w:tc>
          <w:tcPr>
            <w:tcW w:w="974"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308,5</w:t>
            </w:r>
          </w:p>
        </w:tc>
        <w:tc>
          <w:tcPr>
            <w:tcW w:w="105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325,9</w:t>
            </w:r>
          </w:p>
        </w:tc>
        <w:tc>
          <w:tcPr>
            <w:tcW w:w="987"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356,2</w:t>
            </w:r>
          </w:p>
        </w:tc>
      </w:tr>
      <w:tr w:rsidR="003F5D83" w:rsidRPr="00A5338D" w:rsidTr="00B4537E">
        <w:trPr>
          <w:trHeight w:val="209"/>
        </w:trPr>
        <w:tc>
          <w:tcPr>
            <w:tcW w:w="1183" w:type="dxa"/>
            <w:hideMark/>
          </w:tcPr>
          <w:p w:rsidR="003F5D83" w:rsidRPr="00A5338D" w:rsidRDefault="003F5D83" w:rsidP="003F5D83">
            <w:pPr>
              <w:rPr>
                <w:rFonts w:ascii="Times New Roman" w:hAnsi="Times New Roman" w:cs="Times New Roman"/>
              </w:rPr>
            </w:pPr>
            <w:r w:rsidRPr="00A5338D">
              <w:rPr>
                <w:rFonts w:ascii="Times New Roman" w:hAnsi="Times New Roman" w:cs="Times New Roman"/>
                <w:lang w:val="ru-RU"/>
              </w:rPr>
              <w:t xml:space="preserve">РР </w:t>
            </w:r>
            <w:proofErr w:type="spellStart"/>
            <w:r w:rsidRPr="00A5338D">
              <w:rPr>
                <w:rFonts w:ascii="Times New Roman" w:hAnsi="Times New Roman" w:cs="Times New Roman"/>
              </w:rPr>
              <w:t>Юг</w:t>
            </w:r>
            <w:proofErr w:type="spellEnd"/>
          </w:p>
        </w:tc>
        <w:tc>
          <w:tcPr>
            <w:tcW w:w="863"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109</w:t>
            </w:r>
          </w:p>
        </w:tc>
        <w:tc>
          <w:tcPr>
            <w:tcW w:w="82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120</w:t>
            </w:r>
          </w:p>
        </w:tc>
        <w:tc>
          <w:tcPr>
            <w:tcW w:w="826"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135</w:t>
            </w:r>
          </w:p>
        </w:tc>
        <w:tc>
          <w:tcPr>
            <w:tcW w:w="95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183,7</w:t>
            </w:r>
          </w:p>
        </w:tc>
        <w:tc>
          <w:tcPr>
            <w:tcW w:w="84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185,7</w:t>
            </w:r>
          </w:p>
        </w:tc>
        <w:tc>
          <w:tcPr>
            <w:tcW w:w="925"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235,4</w:t>
            </w:r>
          </w:p>
        </w:tc>
        <w:tc>
          <w:tcPr>
            <w:tcW w:w="974"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121,6</w:t>
            </w:r>
          </w:p>
        </w:tc>
        <w:tc>
          <w:tcPr>
            <w:tcW w:w="105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131,3</w:t>
            </w:r>
          </w:p>
        </w:tc>
        <w:tc>
          <w:tcPr>
            <w:tcW w:w="987"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162,7</w:t>
            </w:r>
          </w:p>
        </w:tc>
      </w:tr>
      <w:tr w:rsidR="003F5D83" w:rsidRPr="00A5338D" w:rsidTr="00B4537E">
        <w:trPr>
          <w:trHeight w:val="218"/>
        </w:trPr>
        <w:tc>
          <w:tcPr>
            <w:tcW w:w="1183" w:type="dxa"/>
            <w:hideMark/>
          </w:tcPr>
          <w:p w:rsidR="003F5D83" w:rsidRPr="00A5338D" w:rsidRDefault="003F5D83" w:rsidP="003F5D83">
            <w:pPr>
              <w:rPr>
                <w:rFonts w:ascii="Times New Roman" w:hAnsi="Times New Roman" w:cs="Times New Roman"/>
              </w:rPr>
            </w:pPr>
            <w:r w:rsidRPr="00A5338D">
              <w:rPr>
                <w:rFonts w:ascii="Times New Roman" w:hAnsi="Times New Roman" w:cs="Times New Roman"/>
                <w:lang w:val="ru-RU"/>
              </w:rPr>
              <w:t xml:space="preserve">РР АТО </w:t>
            </w:r>
            <w:proofErr w:type="spellStart"/>
            <w:r w:rsidRPr="00A5338D">
              <w:rPr>
                <w:rFonts w:ascii="Times New Roman" w:hAnsi="Times New Roman" w:cs="Times New Roman"/>
              </w:rPr>
              <w:t>Гагаузия</w:t>
            </w:r>
            <w:proofErr w:type="spellEnd"/>
          </w:p>
        </w:tc>
        <w:tc>
          <w:tcPr>
            <w:tcW w:w="863"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63</w:t>
            </w:r>
          </w:p>
        </w:tc>
        <w:tc>
          <w:tcPr>
            <w:tcW w:w="82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71</w:t>
            </w:r>
          </w:p>
        </w:tc>
        <w:tc>
          <w:tcPr>
            <w:tcW w:w="826"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72</w:t>
            </w:r>
          </w:p>
        </w:tc>
        <w:tc>
          <w:tcPr>
            <w:tcW w:w="95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215,3</w:t>
            </w:r>
          </w:p>
        </w:tc>
        <w:tc>
          <w:tcPr>
            <w:tcW w:w="848"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211,0</w:t>
            </w:r>
          </w:p>
        </w:tc>
        <w:tc>
          <w:tcPr>
            <w:tcW w:w="925"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229,8</w:t>
            </w:r>
          </w:p>
        </w:tc>
        <w:tc>
          <w:tcPr>
            <w:tcW w:w="974"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123,2</w:t>
            </w:r>
          </w:p>
        </w:tc>
        <w:tc>
          <w:tcPr>
            <w:tcW w:w="1050"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117,9</w:t>
            </w:r>
          </w:p>
        </w:tc>
        <w:tc>
          <w:tcPr>
            <w:tcW w:w="987" w:type="dxa"/>
            <w:noWrap/>
            <w:vAlign w:val="center"/>
            <w:hideMark/>
          </w:tcPr>
          <w:p w:rsidR="003F5D83" w:rsidRPr="00A5338D" w:rsidRDefault="003F5D83" w:rsidP="003F5D83">
            <w:pPr>
              <w:jc w:val="right"/>
              <w:rPr>
                <w:rFonts w:ascii="Times New Roman" w:hAnsi="Times New Roman" w:cs="Times New Roman"/>
              </w:rPr>
            </w:pPr>
            <w:r w:rsidRPr="00A5338D">
              <w:rPr>
                <w:rFonts w:ascii="Times New Roman" w:hAnsi="Times New Roman" w:cs="Times New Roman"/>
              </w:rPr>
              <w:t>132,9</w:t>
            </w:r>
          </w:p>
        </w:tc>
      </w:tr>
    </w:tbl>
    <w:p w:rsidR="003F5D83" w:rsidRPr="006D3B1A" w:rsidRDefault="003F5D83" w:rsidP="003F5D83">
      <w:pPr>
        <w:spacing w:after="0" w:line="240" w:lineRule="auto"/>
        <w:ind w:right="-22"/>
        <w:jc w:val="both"/>
        <w:rPr>
          <w:rFonts w:ascii="Times New Roman" w:hAnsi="Times New Roman" w:cs="Times New Roman"/>
          <w:i/>
          <w:iCs/>
          <w:sz w:val="16"/>
          <w:szCs w:val="16"/>
        </w:rPr>
      </w:pPr>
      <w:proofErr w:type="spellStart"/>
      <w:r w:rsidRPr="006D3B1A">
        <w:rPr>
          <w:rFonts w:ascii="Times New Roman" w:hAnsi="Times New Roman" w:cs="Times New Roman"/>
          <w:i/>
          <w:iCs/>
          <w:sz w:val="16"/>
          <w:szCs w:val="16"/>
        </w:rPr>
        <w:t>Источник</w:t>
      </w:r>
      <w:proofErr w:type="spellEnd"/>
      <w:r w:rsidRPr="006D3B1A">
        <w:rPr>
          <w:rFonts w:ascii="Times New Roman" w:hAnsi="Times New Roman" w:cs="Times New Roman"/>
          <w:i/>
          <w:iCs/>
          <w:sz w:val="16"/>
          <w:szCs w:val="16"/>
        </w:rPr>
        <w:t xml:space="preserve">: Banca de date </w:t>
      </w:r>
      <w:proofErr w:type="spellStart"/>
      <w:r w:rsidRPr="006D3B1A">
        <w:rPr>
          <w:rFonts w:ascii="Times New Roman" w:hAnsi="Times New Roman" w:cs="Times New Roman"/>
          <w:i/>
          <w:iCs/>
          <w:sz w:val="16"/>
          <w:szCs w:val="16"/>
        </w:rPr>
        <w:t>statistică</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StatBank</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Deșeuri</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municipale</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colectate</w:t>
      </w:r>
      <w:proofErr w:type="spellEnd"/>
      <w:r w:rsidRPr="006D3B1A">
        <w:rPr>
          <w:rFonts w:ascii="Times New Roman" w:hAnsi="Times New Roman" w:cs="Times New Roman"/>
          <w:i/>
          <w:iCs/>
          <w:sz w:val="16"/>
          <w:szCs w:val="16"/>
        </w:rPr>
        <w:t xml:space="preserve"> de la </w:t>
      </w:r>
      <w:proofErr w:type="spellStart"/>
      <w:r w:rsidRPr="006D3B1A">
        <w:rPr>
          <w:rFonts w:ascii="Times New Roman" w:hAnsi="Times New Roman" w:cs="Times New Roman"/>
          <w:i/>
          <w:iCs/>
          <w:sz w:val="16"/>
          <w:szCs w:val="16"/>
        </w:rPr>
        <w:t>populație</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instituții</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și</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agenți</w:t>
      </w:r>
      <w:proofErr w:type="spellEnd"/>
      <w:r w:rsidRPr="006D3B1A">
        <w:rPr>
          <w:rFonts w:ascii="Times New Roman" w:hAnsi="Times New Roman" w:cs="Times New Roman"/>
          <w:i/>
          <w:iCs/>
          <w:sz w:val="16"/>
          <w:szCs w:val="16"/>
        </w:rPr>
        <w:t xml:space="preserve"> economici </w:t>
      </w:r>
      <w:proofErr w:type="spellStart"/>
      <w:r w:rsidRPr="006D3B1A">
        <w:rPr>
          <w:rFonts w:ascii="Times New Roman" w:hAnsi="Times New Roman" w:cs="Times New Roman"/>
          <w:i/>
          <w:iCs/>
          <w:sz w:val="16"/>
          <w:szCs w:val="16"/>
        </w:rPr>
        <w:t>în</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profil</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teritorial</w:t>
      </w:r>
      <w:proofErr w:type="spellEnd"/>
      <w:r w:rsidRPr="006D3B1A">
        <w:rPr>
          <w:rFonts w:ascii="Times New Roman" w:hAnsi="Times New Roman" w:cs="Times New Roman"/>
          <w:i/>
          <w:iCs/>
          <w:sz w:val="16"/>
          <w:szCs w:val="16"/>
        </w:rPr>
        <w:t>, 2016–2021 [</w:t>
      </w:r>
      <w:proofErr w:type="spellStart"/>
      <w:r w:rsidRPr="006D3B1A">
        <w:rPr>
          <w:rFonts w:ascii="Times New Roman" w:hAnsi="Times New Roman" w:cs="Times New Roman"/>
          <w:i/>
          <w:iCs/>
          <w:sz w:val="16"/>
          <w:szCs w:val="16"/>
        </w:rPr>
        <w:t>resursă</w:t>
      </w:r>
      <w:proofErr w:type="spellEnd"/>
      <w:r w:rsidRPr="006D3B1A">
        <w:rPr>
          <w:rFonts w:ascii="Times New Roman" w:hAnsi="Times New Roman" w:cs="Times New Roman"/>
          <w:i/>
          <w:iCs/>
          <w:sz w:val="16"/>
          <w:szCs w:val="16"/>
        </w:rPr>
        <w:t xml:space="preserve"> </w:t>
      </w:r>
      <w:proofErr w:type="spellStart"/>
      <w:r w:rsidRPr="006D3B1A">
        <w:rPr>
          <w:rFonts w:ascii="Times New Roman" w:hAnsi="Times New Roman" w:cs="Times New Roman"/>
          <w:i/>
          <w:iCs/>
          <w:sz w:val="16"/>
          <w:szCs w:val="16"/>
        </w:rPr>
        <w:t>electronică</w:t>
      </w:r>
      <w:proofErr w:type="spellEnd"/>
      <w:r w:rsidRPr="006D3B1A">
        <w:rPr>
          <w:rFonts w:ascii="Times New Roman" w:hAnsi="Times New Roman" w:cs="Times New Roman"/>
          <w:i/>
          <w:iCs/>
          <w:sz w:val="16"/>
          <w:szCs w:val="16"/>
        </w:rPr>
        <w:t xml:space="preserve">]. – </w:t>
      </w:r>
      <w:proofErr w:type="spellStart"/>
      <w:r w:rsidRPr="006D3B1A">
        <w:rPr>
          <w:rFonts w:ascii="Times New Roman" w:hAnsi="Times New Roman" w:cs="Times New Roman"/>
          <w:i/>
          <w:iCs/>
          <w:sz w:val="16"/>
          <w:szCs w:val="16"/>
        </w:rPr>
        <w:t>Disponibil</w:t>
      </w:r>
      <w:proofErr w:type="spellEnd"/>
      <w:r w:rsidRPr="006D3B1A">
        <w:rPr>
          <w:rFonts w:ascii="Times New Roman" w:hAnsi="Times New Roman" w:cs="Times New Roman"/>
          <w:i/>
          <w:iCs/>
          <w:sz w:val="16"/>
          <w:szCs w:val="16"/>
        </w:rPr>
        <w:t>:</w:t>
      </w:r>
    </w:p>
    <w:p w:rsidR="003F5D83" w:rsidRPr="006D3B1A" w:rsidRDefault="00835535" w:rsidP="003F5D83">
      <w:pPr>
        <w:spacing w:after="0" w:line="240" w:lineRule="auto"/>
        <w:ind w:right="-22"/>
        <w:jc w:val="both"/>
        <w:rPr>
          <w:rFonts w:ascii="Times New Roman" w:hAnsi="Times New Roman" w:cs="Times New Roman"/>
          <w:i/>
          <w:iCs/>
          <w:sz w:val="16"/>
          <w:szCs w:val="16"/>
        </w:rPr>
      </w:pPr>
      <w:hyperlink r:id="rId43" w:tgtFrame="_new" w:history="1">
        <w:r w:rsidR="003F5D83" w:rsidRPr="006D3B1A">
          <w:rPr>
            <w:rStyle w:val="af0"/>
            <w:rFonts w:ascii="Times New Roman" w:hAnsi="Times New Roman" w:cs="Times New Roman"/>
            <w:i/>
            <w:iCs/>
            <w:sz w:val="16"/>
            <w:szCs w:val="16"/>
          </w:rPr>
          <w:t>https://statbank.statistica.md/PxWeb/pxweb/ro/10%20Mediul%20inconjurator/10%20Mediul%20inconjurator__MED040__Municipale/MED060300reg.px/</w:t>
        </w:r>
      </w:hyperlink>
      <w:r w:rsidR="003F5D83" w:rsidRPr="006D3B1A">
        <w:rPr>
          <w:rFonts w:ascii="Times New Roman" w:hAnsi="Times New Roman" w:cs="Times New Roman"/>
          <w:i/>
          <w:iCs/>
          <w:sz w:val="16"/>
          <w:szCs w:val="16"/>
        </w:rPr>
        <w:t xml:space="preserve"> </w:t>
      </w:r>
    </w:p>
    <w:p w:rsidR="003F5D83" w:rsidRPr="006D3B1A" w:rsidRDefault="003F5D83" w:rsidP="003F5D83">
      <w:pPr>
        <w:spacing w:after="0" w:line="240" w:lineRule="auto"/>
        <w:ind w:right="-22"/>
        <w:jc w:val="both"/>
        <w:rPr>
          <w:rFonts w:ascii="Times New Roman" w:hAnsi="Times New Roman" w:cs="Times New Roman"/>
          <w:i/>
          <w:iCs/>
          <w:sz w:val="16"/>
          <w:szCs w:val="16"/>
          <w:lang w:val="ru-RU"/>
        </w:rPr>
      </w:pPr>
      <w:r w:rsidRPr="006D3B1A">
        <w:rPr>
          <w:rFonts w:ascii="Times New Roman" w:hAnsi="Times New Roman" w:cs="Times New Roman"/>
          <w:i/>
          <w:iCs/>
          <w:sz w:val="16"/>
          <w:szCs w:val="16"/>
          <w:lang w:val="ru-RU"/>
        </w:rPr>
        <w:t xml:space="preserve">*Примечание: по состоянию на дату обращения официальные статистические данные за период 2022-2024 год в базе </w:t>
      </w:r>
      <w:proofErr w:type="spellStart"/>
      <w:r w:rsidRPr="006D3B1A">
        <w:rPr>
          <w:rFonts w:ascii="Times New Roman" w:hAnsi="Times New Roman" w:cs="Times New Roman"/>
          <w:i/>
          <w:iCs/>
          <w:sz w:val="16"/>
          <w:szCs w:val="16"/>
        </w:rPr>
        <w:t>StatBank</w:t>
      </w:r>
      <w:proofErr w:type="spellEnd"/>
      <w:r w:rsidRPr="006D3B1A">
        <w:rPr>
          <w:rFonts w:ascii="Times New Roman" w:hAnsi="Times New Roman" w:cs="Times New Roman"/>
          <w:i/>
          <w:iCs/>
          <w:sz w:val="16"/>
          <w:szCs w:val="16"/>
          <w:lang w:val="ru-RU"/>
        </w:rPr>
        <w:t xml:space="preserve"> отсутствуют.</w:t>
      </w:r>
    </w:p>
    <w:p w:rsidR="00B4537E" w:rsidRDefault="00B4537E" w:rsidP="003F5D83">
      <w:pPr>
        <w:pStyle w:val="a7"/>
        <w:ind w:firstLine="709"/>
      </w:pPr>
    </w:p>
    <w:p w:rsidR="003F5D83" w:rsidRPr="002E79D5" w:rsidRDefault="003F5D83" w:rsidP="003F5D83">
      <w:pPr>
        <w:pStyle w:val="a7"/>
        <w:ind w:firstLine="709"/>
      </w:pPr>
      <w:r w:rsidRPr="002E79D5">
        <w:t xml:space="preserve">Анализ данных показывает, что в 2019–2021 гг. система сбора муниципальных отходов в Республике Молдова в целом развивается. Количество транспортных средств увеличилось с 866 до 975 единиц, или на </w:t>
      </w:r>
      <w:r w:rsidRPr="002E79D5">
        <w:rPr>
          <w:rStyle w:val="a8"/>
          <w:b w:val="0"/>
          <w:bCs w:val="0"/>
        </w:rPr>
        <w:t>109 единиц (12,6%)</w:t>
      </w:r>
      <w:r w:rsidRPr="002E79D5">
        <w:t>. Общий объём собранных отходов также вырос с 3 204,0 до 3 311,4 тыс. м³ (</w:t>
      </w:r>
      <w:r w:rsidRPr="002E79D5">
        <w:rPr>
          <w:rStyle w:val="a8"/>
          <w:b w:val="0"/>
          <w:bCs w:val="0"/>
        </w:rPr>
        <w:t>+3,4%</w:t>
      </w:r>
      <w:r w:rsidRPr="002E79D5">
        <w:t>).</w:t>
      </w:r>
    </w:p>
    <w:p w:rsidR="003F5D83" w:rsidRPr="002E79D5" w:rsidRDefault="003F5D83" w:rsidP="003F5D83">
      <w:pPr>
        <w:pStyle w:val="a7"/>
        <w:ind w:firstLine="709"/>
        <w:rPr>
          <w:rStyle w:val="a8"/>
          <w:b w:val="0"/>
          <w:bCs w:val="0"/>
        </w:rPr>
      </w:pPr>
      <w:r w:rsidRPr="002E79D5">
        <w:t>Наибольшие объёмы сбора отходов сосредоточены в муниципии Кишинёв, где в 2021 г. собрано 1 850,0 тыс. м³, что составляет более половины от общего объёма по стране. Это обусловлено высокой концентрацией населения и экономической активности.</w:t>
      </w:r>
    </w:p>
    <w:p w:rsidR="003F5D83" w:rsidRPr="002E79D5" w:rsidRDefault="003F5D83" w:rsidP="003F5D83">
      <w:pPr>
        <w:pStyle w:val="a7"/>
        <w:ind w:firstLine="709"/>
        <w:rPr>
          <w:rStyle w:val="a8"/>
          <w:b w:val="0"/>
          <w:bCs w:val="0"/>
        </w:rPr>
      </w:pPr>
      <w:r w:rsidRPr="002E79D5">
        <w:rPr>
          <w:rStyle w:val="a8"/>
          <w:b w:val="0"/>
          <w:bCs w:val="0"/>
        </w:rPr>
        <w:t>В регионах наблюдается умеренный рост. Так, в регионе Центр объём отходов увеличился с 445,1 до 504,7 тыс. м³ (+13,4%), в регионе Юг — с 183,7 до 235,4 тыс. м³ (+28,1%), что является самым высоким темпом роста.</w:t>
      </w:r>
    </w:p>
    <w:p w:rsidR="003F5D83" w:rsidRPr="002E79D5" w:rsidRDefault="003F5D83" w:rsidP="003F5D83">
      <w:pPr>
        <w:pStyle w:val="a7"/>
        <w:ind w:firstLine="709"/>
        <w:rPr>
          <w:rStyle w:val="a8"/>
          <w:b w:val="0"/>
          <w:bCs w:val="0"/>
        </w:rPr>
      </w:pPr>
      <w:r w:rsidRPr="002E79D5">
        <w:rPr>
          <w:rStyle w:val="a8"/>
          <w:b w:val="0"/>
          <w:bCs w:val="0"/>
        </w:rPr>
        <w:t xml:space="preserve">В АТО Гагаузия количество транспортных средств, используемых в санитарных работах, увеличилось с 63 до 72 единиц (+14,3%), а общий объём собранных отходов — с 215,3 до 229,8 тыс. м³ (+6,7%). При этом объём отходов, собранных непосредственно от населения, вырос с 123,2 до 132,9 тыс. м³ (+7,9%). </w:t>
      </w:r>
      <w:r w:rsidRPr="002E79D5">
        <w:rPr>
          <w:rFonts w:eastAsia="Arial"/>
        </w:rPr>
        <w:t>Услугами вывоза твёрдых бытовых отходов пользуются 35,3 тыс. домохозяйств (69%), охват населения составляет 95 614 человек</w:t>
      </w:r>
      <w:r w:rsidRPr="002E79D5">
        <w:rPr>
          <w:rStyle w:val="a8"/>
          <w:b w:val="0"/>
          <w:bCs w:val="0"/>
        </w:rPr>
        <w:t>.</w:t>
      </w:r>
    </w:p>
    <w:p w:rsidR="003F5D83" w:rsidRPr="002E79D5" w:rsidRDefault="003F5D83" w:rsidP="003F5D83">
      <w:pPr>
        <w:pStyle w:val="a7"/>
        <w:ind w:firstLine="709"/>
      </w:pPr>
      <w:r w:rsidRPr="002E79D5">
        <w:rPr>
          <w:rStyle w:val="a8"/>
          <w:b w:val="0"/>
          <w:bCs w:val="0"/>
        </w:rPr>
        <w:t>АТО Гагаузия демонстрирует положительную динамику в развитии системы сбора отходов, однако по масштабам остаётся существенно ниже столичного региона.</w:t>
      </w:r>
      <w:r w:rsidRPr="002E79D5">
        <w:t xml:space="preserve"> В целом система управления отходами в стране развивается, но сохраняется значительная региональная дифференциация, что указывает на необходимость дальнейшего совершенствования инфраструктуры и повышения эффективности её функционирования.</w:t>
      </w:r>
    </w:p>
    <w:p w:rsidR="003F5D83" w:rsidRPr="002E79D5" w:rsidRDefault="003F5D83" w:rsidP="003F5D83">
      <w:pPr>
        <w:pStyle w:val="a7"/>
        <w:ind w:firstLine="709"/>
        <w:rPr>
          <w:rStyle w:val="a8"/>
          <w:b w:val="0"/>
          <w:bCs w:val="0"/>
        </w:rPr>
      </w:pPr>
      <w:r w:rsidRPr="002E79D5">
        <w:rPr>
          <w:rStyle w:val="a8"/>
          <w:b w:val="0"/>
          <w:bCs w:val="0"/>
        </w:rPr>
        <w:t xml:space="preserve">Одной из главных проблем региона, как и страны в целом, является несанкционированные свалки (особенно в сельской местности). Практически нигде нет раздельного сбора ТБО, также отсутствуют центры переработки. Можно констатировать, </w:t>
      </w:r>
      <w:r w:rsidRPr="002E79D5">
        <w:rPr>
          <w:rStyle w:val="a8"/>
          <w:b w:val="0"/>
          <w:bCs w:val="0"/>
        </w:rPr>
        <w:lastRenderedPageBreak/>
        <w:t>что ни один ОМПУ не в силах справиться с данной задачей самостоятельно. Соответственно решение данной проблемы требует вмешательства на государственном уровне.</w:t>
      </w:r>
    </w:p>
    <w:p w:rsidR="00B4537E" w:rsidRDefault="003F5D83" w:rsidP="00346506">
      <w:pPr>
        <w:pStyle w:val="a7"/>
        <w:ind w:firstLine="709"/>
      </w:pPr>
      <w:r w:rsidRPr="002E79D5">
        <w:t>Государство в последние годы действительно предпринимает ряд мер, но важно понимать: это долгий переход от “свалочной модели” к системе пер</w:t>
      </w:r>
      <w:r w:rsidR="00346506">
        <w:t>еработки, и он ещё не завершён.</w:t>
      </w:r>
    </w:p>
    <w:p w:rsidR="00521AC7" w:rsidRPr="00C74104" w:rsidRDefault="00521AC7" w:rsidP="003F5D83">
      <w:pPr>
        <w:pStyle w:val="a7"/>
        <w:ind w:firstLine="709"/>
      </w:pPr>
    </w:p>
    <w:p w:rsidR="003F5D83" w:rsidRDefault="003F5D83" w:rsidP="003F5D83">
      <w:pPr>
        <w:spacing w:after="0" w:line="240" w:lineRule="auto"/>
        <w:rPr>
          <w:rFonts w:ascii="Times New Roman" w:hAnsi="Times New Roman" w:cs="Times New Roman"/>
          <w:b/>
          <w:bCs/>
          <w:i/>
          <w:iCs/>
          <w:kern w:val="2"/>
          <w:sz w:val="24"/>
          <w:szCs w:val="24"/>
          <w:lang w:val="ru-RU"/>
          <w14:ligatures w14:val="standardContextual"/>
        </w:rPr>
      </w:pPr>
      <w:r>
        <w:rPr>
          <w:rFonts w:ascii="Times New Roman" w:hAnsi="Times New Roman" w:cs="Times New Roman"/>
          <w:b/>
          <w:bCs/>
          <w:i/>
          <w:iCs/>
          <w:kern w:val="2"/>
          <w:sz w:val="24"/>
          <w:szCs w:val="24"/>
          <w:lang w:val="ru-RU"/>
          <w14:ligatures w14:val="standardContextual"/>
        </w:rPr>
        <w:t>Освещение и дорожная инфраструктура.</w:t>
      </w:r>
    </w:p>
    <w:p w:rsidR="00346506" w:rsidRDefault="00346506" w:rsidP="003F5D83">
      <w:pPr>
        <w:spacing w:after="0" w:line="240" w:lineRule="auto"/>
        <w:rPr>
          <w:rFonts w:ascii="Times New Roman" w:hAnsi="Times New Roman" w:cs="Times New Roman"/>
          <w:b/>
          <w:bCs/>
          <w:i/>
          <w:iCs/>
          <w:kern w:val="2"/>
          <w:sz w:val="24"/>
          <w:szCs w:val="24"/>
          <w:lang w:val="ru-RU"/>
          <w14:ligatures w14:val="standardContextual"/>
        </w:rPr>
      </w:pPr>
    </w:p>
    <w:p w:rsidR="003F5D83" w:rsidRPr="005A6268" w:rsidRDefault="003F5D83" w:rsidP="003F5D83">
      <w:pPr>
        <w:spacing w:after="0" w:line="240" w:lineRule="auto"/>
        <w:ind w:firstLine="709"/>
        <w:jc w:val="both"/>
        <w:rPr>
          <w:rFonts w:ascii="Times New Roman" w:hAnsi="Times New Roman" w:cs="Times New Roman"/>
          <w:b/>
          <w:bCs/>
          <w:i/>
          <w:iCs/>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В 2024 году общая протяженность городских улиц составляла 4,2 тысячи км, а протяженность освещенных участков городских улиц — 3,5 тысячи км. Таким образом, степень освещенности на уровне страны составила 82,7%</w:t>
      </w:r>
      <w:r w:rsidRPr="000C2BE6">
        <w:rPr>
          <w:rFonts w:ascii="Times New Roman" w:hAnsi="Times New Roman" w:cs="Times New Roman"/>
          <w:kern w:val="2"/>
          <w:sz w:val="24"/>
          <w:szCs w:val="24"/>
          <w14:ligatures w14:val="standardContextual"/>
        </w:rPr>
        <w:t> </w:t>
      </w:r>
      <w:r w:rsidRPr="000C2BE6">
        <w:rPr>
          <w:rFonts w:ascii="Times New Roman" w:hAnsi="Times New Roman" w:cs="Times New Roman"/>
          <w:kern w:val="2"/>
          <w:sz w:val="24"/>
          <w:szCs w:val="24"/>
          <w:lang w:val="ru-RU"/>
          <w14:ligatures w14:val="standardContextual"/>
        </w:rPr>
        <w:t>(рис</w:t>
      </w:r>
      <w:r>
        <w:rPr>
          <w:rFonts w:ascii="Times New Roman" w:hAnsi="Times New Roman" w:cs="Times New Roman"/>
          <w:kern w:val="2"/>
          <w:sz w:val="24"/>
          <w:szCs w:val="24"/>
          <w:lang w:val="ru-RU"/>
          <w14:ligatures w14:val="standardContextual"/>
        </w:rPr>
        <w:t>унок 2.1</w:t>
      </w:r>
      <w:r w:rsidRPr="006E55BF">
        <w:rPr>
          <w:rFonts w:ascii="Times New Roman" w:hAnsi="Times New Roman" w:cs="Times New Roman"/>
          <w:kern w:val="2"/>
          <w:sz w:val="24"/>
          <w:szCs w:val="24"/>
          <w:lang w:val="ru-RU"/>
          <w14:ligatures w14:val="standardContextual"/>
        </w:rPr>
        <w:t>2).</w:t>
      </w:r>
      <w:r w:rsidRPr="000C2BE6">
        <w:rPr>
          <w:rFonts w:ascii="Times New Roman" w:hAnsi="Times New Roman" w:cs="Times New Roman"/>
          <w:kern w:val="2"/>
          <w:sz w:val="24"/>
          <w:szCs w:val="24"/>
          <w:lang w:val="ru-RU"/>
          <w14:ligatures w14:val="standardContextual"/>
        </w:rPr>
        <w:t xml:space="preserve"> </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Наиболее высокий показатель освещенности зафиксирован в АТО Гагаузия — 96,3%, что является максимальным значением среди всех регионов. Высокий уровень также наблюдается в муниципии Кишинёв — 91,1%. В остальных регионах показатели ниже среднего: в регионе Центр — 80,3%, в регионе Юг — 77,2%, а в регионе Север — 76,1%.</w:t>
      </w:r>
    </w:p>
    <w:p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B4537E" w:rsidRDefault="00B4537E"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BD6565" w:rsidRPr="000C2BE6" w:rsidRDefault="00BD6565"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0C2BE6" w:rsidRDefault="003F5D83" w:rsidP="003F5D83">
      <w:pPr>
        <w:spacing w:after="0" w:line="240" w:lineRule="auto"/>
        <w:rPr>
          <w:rFonts w:ascii="Arial" w:hAnsi="Arial" w:cs="Arial"/>
          <w:kern w:val="2"/>
          <w:sz w:val="20"/>
          <w:szCs w:val="20"/>
          <w14:ligatures w14:val="standardContextual"/>
        </w:rPr>
      </w:pPr>
      <w:r w:rsidRPr="000C2BE6">
        <w:rPr>
          <w:noProof/>
          <w:kern w:val="2"/>
          <w:sz w:val="24"/>
          <w:szCs w:val="24"/>
          <w:lang w:val="ru-RU" w:eastAsia="ru-RU"/>
          <w14:ligatures w14:val="standardContextual"/>
        </w:rPr>
        <w:drawing>
          <wp:inline distT="0" distB="0" distL="0" distR="0" wp14:anchorId="5E66C657" wp14:editId="27D3D185">
            <wp:extent cx="5695950" cy="2238375"/>
            <wp:effectExtent l="0" t="0" r="0" b="0"/>
            <wp:docPr id="768950765" name="Диаграмма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F5D83" w:rsidRPr="00D46DAD" w:rsidRDefault="003F5D83" w:rsidP="00D46DAD">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Рис</w:t>
      </w:r>
      <w:r>
        <w:rPr>
          <w:rFonts w:ascii="Times New Roman" w:hAnsi="Times New Roman" w:cs="Times New Roman"/>
          <w:b/>
          <w:bCs/>
          <w:kern w:val="2"/>
          <w:sz w:val="24"/>
          <w:szCs w:val="24"/>
          <w:lang w:val="ru-RU"/>
          <w14:ligatures w14:val="standardContextual"/>
        </w:rPr>
        <w:t>унок 2.12.</w:t>
      </w:r>
      <w:r w:rsidRPr="000C2BE6">
        <w:rPr>
          <w:rFonts w:ascii="Times New Roman" w:hAnsi="Times New Roman" w:cs="Times New Roman"/>
          <w:b/>
          <w:bCs/>
          <w:kern w:val="2"/>
          <w:sz w:val="24"/>
          <w:szCs w:val="24"/>
          <w:lang w:val="ru-RU"/>
          <w14:ligatures w14:val="standardContextual"/>
        </w:rPr>
        <w:t xml:space="preserve"> Уровень освещённости городских улиц п</w:t>
      </w:r>
      <w:r w:rsidR="00D46DAD">
        <w:rPr>
          <w:rFonts w:ascii="Times New Roman" w:hAnsi="Times New Roman" w:cs="Times New Roman"/>
          <w:b/>
          <w:bCs/>
          <w:kern w:val="2"/>
          <w:sz w:val="24"/>
          <w:szCs w:val="24"/>
          <w:lang w:val="ru-RU"/>
          <w14:ligatures w14:val="standardContextual"/>
        </w:rPr>
        <w:t xml:space="preserve">о регионам Республики Молдова, </w:t>
      </w:r>
      <w:r w:rsidR="00D46DAD" w:rsidRPr="00D46DAD">
        <w:rPr>
          <w:rFonts w:ascii="Times New Roman" w:hAnsi="Times New Roman" w:cs="Times New Roman"/>
          <w:b/>
          <w:bCs/>
          <w:kern w:val="2"/>
          <w:sz w:val="24"/>
          <w:szCs w:val="24"/>
          <w:lang w:val="ru-RU"/>
          <w14:ligatures w14:val="standardContextual"/>
        </w:rPr>
        <w:t xml:space="preserve"> </w:t>
      </w:r>
      <w:r w:rsidRPr="00D46DAD">
        <w:rPr>
          <w:rFonts w:ascii="Times New Roman" w:hAnsi="Times New Roman" w:cs="Times New Roman"/>
          <w:b/>
          <w:bCs/>
          <w:kern w:val="2"/>
          <w:sz w:val="24"/>
          <w:szCs w:val="24"/>
          <w:lang w:val="ru-RU"/>
          <w14:ligatures w14:val="standardContextual"/>
        </w:rPr>
        <w:t xml:space="preserve">2024 </w:t>
      </w:r>
      <w:r w:rsidRPr="000C2BE6">
        <w:rPr>
          <w:rFonts w:ascii="Times New Roman" w:hAnsi="Times New Roman" w:cs="Times New Roman"/>
          <w:b/>
          <w:bCs/>
          <w:kern w:val="2"/>
          <w:sz w:val="24"/>
          <w:szCs w:val="24"/>
          <w:lang w:val="ru-RU"/>
          <w14:ligatures w14:val="standardContextual"/>
        </w:rPr>
        <w:t>г</w:t>
      </w:r>
      <w:r w:rsidRPr="00D46DAD">
        <w:rPr>
          <w:rFonts w:ascii="Times New Roman" w:hAnsi="Times New Roman" w:cs="Times New Roman"/>
          <w:b/>
          <w:bCs/>
          <w:kern w:val="2"/>
          <w:sz w:val="24"/>
          <w:szCs w:val="24"/>
          <w:lang w:val="ru-RU"/>
          <w14:ligatures w14:val="standardContextual"/>
        </w:rPr>
        <w:t>., %</w:t>
      </w:r>
    </w:p>
    <w:p w:rsidR="003F5D83" w:rsidRPr="001C52D4" w:rsidRDefault="003F5D83" w:rsidP="003F5D83">
      <w:pPr>
        <w:spacing w:after="0" w:line="240" w:lineRule="auto"/>
        <w:ind w:right="-22"/>
        <w:jc w:val="both"/>
        <w:rPr>
          <w:rFonts w:ascii="Times New Roman" w:hAnsi="Times New Roman" w:cs="Times New Roman"/>
          <w:i/>
          <w:iCs/>
          <w:kern w:val="2"/>
          <w:sz w:val="16"/>
          <w:szCs w:val="16"/>
          <w14:ligatures w14:val="standardContextual"/>
        </w:rPr>
      </w:pPr>
      <w:proofErr w:type="spellStart"/>
      <w:r w:rsidRPr="001C52D4">
        <w:rPr>
          <w:rFonts w:ascii="Times New Roman" w:hAnsi="Times New Roman" w:cs="Times New Roman"/>
          <w:i/>
          <w:iCs/>
          <w:kern w:val="2"/>
          <w:sz w:val="16"/>
          <w:szCs w:val="16"/>
          <w14:ligatures w14:val="standardContextual"/>
        </w:rPr>
        <w:t>Источник</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Biroul</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Național</w:t>
      </w:r>
      <w:proofErr w:type="spellEnd"/>
      <w:r w:rsidRPr="001C52D4">
        <w:rPr>
          <w:rFonts w:ascii="Times New Roman" w:hAnsi="Times New Roman" w:cs="Times New Roman"/>
          <w:i/>
          <w:iCs/>
          <w:kern w:val="2"/>
          <w:sz w:val="16"/>
          <w:szCs w:val="16"/>
          <w14:ligatures w14:val="standardContextual"/>
        </w:rPr>
        <w:t xml:space="preserve"> de </w:t>
      </w:r>
      <w:proofErr w:type="spellStart"/>
      <w:r w:rsidRPr="001C52D4">
        <w:rPr>
          <w:rFonts w:ascii="Times New Roman" w:hAnsi="Times New Roman" w:cs="Times New Roman"/>
          <w:i/>
          <w:iCs/>
          <w:kern w:val="2"/>
          <w:sz w:val="16"/>
          <w:szCs w:val="16"/>
          <w14:ligatures w14:val="standardContextual"/>
        </w:rPr>
        <w:t>Statistică</w:t>
      </w:r>
      <w:proofErr w:type="spellEnd"/>
      <w:r w:rsidRPr="001C52D4">
        <w:rPr>
          <w:rFonts w:ascii="Times New Roman" w:hAnsi="Times New Roman" w:cs="Times New Roman"/>
          <w:i/>
          <w:iCs/>
          <w:kern w:val="2"/>
          <w:sz w:val="16"/>
          <w:szCs w:val="16"/>
          <w14:ligatures w14:val="standardContextual"/>
        </w:rPr>
        <w:t xml:space="preserve"> al </w:t>
      </w:r>
      <w:proofErr w:type="spellStart"/>
      <w:r w:rsidRPr="001C52D4">
        <w:rPr>
          <w:rFonts w:ascii="Times New Roman" w:hAnsi="Times New Roman" w:cs="Times New Roman"/>
          <w:i/>
          <w:iCs/>
          <w:kern w:val="2"/>
          <w:sz w:val="16"/>
          <w:szCs w:val="16"/>
          <w14:ligatures w14:val="standardContextual"/>
        </w:rPr>
        <w:t>Republicii</w:t>
      </w:r>
      <w:proofErr w:type="spellEnd"/>
      <w:r w:rsidRPr="001C52D4">
        <w:rPr>
          <w:rFonts w:ascii="Times New Roman" w:hAnsi="Times New Roman" w:cs="Times New Roman"/>
          <w:i/>
          <w:iCs/>
          <w:kern w:val="2"/>
          <w:sz w:val="16"/>
          <w:szCs w:val="16"/>
          <w14:ligatures w14:val="standardContextual"/>
        </w:rPr>
        <w:t xml:space="preserve"> Moldova. </w:t>
      </w:r>
      <w:proofErr w:type="spellStart"/>
      <w:r w:rsidRPr="001C52D4">
        <w:rPr>
          <w:rFonts w:ascii="Times New Roman" w:hAnsi="Times New Roman" w:cs="Times New Roman"/>
          <w:i/>
          <w:iCs/>
          <w:kern w:val="2"/>
          <w:sz w:val="16"/>
          <w:szCs w:val="16"/>
          <w14:ligatures w14:val="standardContextual"/>
        </w:rPr>
        <w:t>Infrastructura</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străzilor</w:t>
      </w:r>
      <w:proofErr w:type="spellEnd"/>
      <w:r w:rsidRPr="001C52D4">
        <w:rPr>
          <w:rFonts w:ascii="Times New Roman" w:hAnsi="Times New Roman" w:cs="Times New Roman"/>
          <w:i/>
          <w:iCs/>
          <w:kern w:val="2"/>
          <w:sz w:val="16"/>
          <w:szCs w:val="16"/>
          <w14:ligatures w14:val="standardContextual"/>
        </w:rPr>
        <w:t xml:space="preserve"> din </w:t>
      </w:r>
      <w:proofErr w:type="spellStart"/>
      <w:r w:rsidRPr="001C52D4">
        <w:rPr>
          <w:rFonts w:ascii="Times New Roman" w:hAnsi="Times New Roman" w:cs="Times New Roman"/>
          <w:i/>
          <w:iCs/>
          <w:kern w:val="2"/>
          <w:sz w:val="16"/>
          <w:szCs w:val="16"/>
          <w14:ligatures w14:val="standardContextual"/>
        </w:rPr>
        <w:t>localitățile</w:t>
      </w:r>
      <w:proofErr w:type="spellEnd"/>
      <w:r w:rsidRPr="001C52D4">
        <w:rPr>
          <w:rFonts w:ascii="Times New Roman" w:hAnsi="Times New Roman" w:cs="Times New Roman"/>
          <w:i/>
          <w:iCs/>
          <w:kern w:val="2"/>
          <w:sz w:val="16"/>
          <w:szCs w:val="16"/>
          <w14:ligatures w14:val="standardContextual"/>
        </w:rPr>
        <w:t xml:space="preserve"> urbane </w:t>
      </w:r>
      <w:proofErr w:type="spellStart"/>
      <w:r w:rsidRPr="001C52D4">
        <w:rPr>
          <w:rFonts w:ascii="Times New Roman" w:hAnsi="Times New Roman" w:cs="Times New Roman"/>
          <w:i/>
          <w:iCs/>
          <w:kern w:val="2"/>
          <w:sz w:val="16"/>
          <w:szCs w:val="16"/>
          <w14:ligatures w14:val="standardContextual"/>
        </w:rPr>
        <w:t>în</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anul</w:t>
      </w:r>
      <w:proofErr w:type="spellEnd"/>
      <w:r w:rsidRPr="001C52D4">
        <w:rPr>
          <w:rFonts w:ascii="Times New Roman" w:hAnsi="Times New Roman" w:cs="Times New Roman"/>
          <w:i/>
          <w:iCs/>
          <w:kern w:val="2"/>
          <w:sz w:val="16"/>
          <w:szCs w:val="16"/>
          <w14:ligatures w14:val="standardContextual"/>
        </w:rPr>
        <w:t xml:space="preserve"> 2024 [</w:t>
      </w:r>
      <w:proofErr w:type="spellStart"/>
      <w:r w:rsidRPr="001C52D4">
        <w:rPr>
          <w:rFonts w:ascii="Times New Roman" w:hAnsi="Times New Roman" w:cs="Times New Roman"/>
          <w:i/>
          <w:iCs/>
          <w:kern w:val="2"/>
          <w:sz w:val="16"/>
          <w:szCs w:val="16"/>
          <w14:ligatures w14:val="standardContextual"/>
        </w:rPr>
        <w:t>resursă</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electronică</w:t>
      </w:r>
      <w:proofErr w:type="spellEnd"/>
      <w:r w:rsidRPr="001C52D4">
        <w:rPr>
          <w:rFonts w:ascii="Times New Roman" w:hAnsi="Times New Roman" w:cs="Times New Roman"/>
          <w:i/>
          <w:iCs/>
          <w:kern w:val="2"/>
          <w:sz w:val="16"/>
          <w:szCs w:val="16"/>
          <w14:ligatures w14:val="standardContextual"/>
        </w:rPr>
        <w:t xml:space="preserve">]. – </w:t>
      </w:r>
      <w:proofErr w:type="spellStart"/>
      <w:r w:rsidRPr="001C52D4">
        <w:rPr>
          <w:rFonts w:ascii="Times New Roman" w:hAnsi="Times New Roman" w:cs="Times New Roman"/>
          <w:i/>
          <w:iCs/>
          <w:kern w:val="2"/>
          <w:sz w:val="16"/>
          <w:szCs w:val="16"/>
          <w14:ligatures w14:val="standardContextual"/>
        </w:rPr>
        <w:t>Disponibil</w:t>
      </w:r>
      <w:proofErr w:type="spellEnd"/>
      <w:r w:rsidRPr="001C52D4">
        <w:rPr>
          <w:rFonts w:ascii="Times New Roman" w:hAnsi="Times New Roman" w:cs="Times New Roman"/>
          <w:i/>
          <w:iCs/>
          <w:kern w:val="2"/>
          <w:sz w:val="16"/>
          <w:szCs w:val="16"/>
          <w14:ligatures w14:val="standardContextual"/>
        </w:rPr>
        <w:t xml:space="preserve">: </w:t>
      </w:r>
      <w:hyperlink r:id="rId45" w:tgtFrame="_new" w:history="1">
        <w:proofErr w:type="spellStart"/>
        <w:r w:rsidRPr="001C52D4">
          <w:rPr>
            <w:rFonts w:ascii="Times New Roman" w:hAnsi="Times New Roman" w:cs="Times New Roman"/>
            <w:i/>
            <w:iCs/>
            <w:color w:val="0563C1" w:themeColor="hyperlink"/>
            <w:kern w:val="2"/>
            <w:sz w:val="16"/>
            <w:szCs w:val="16"/>
            <w:u w:val="single"/>
            <w14:ligatures w14:val="standardContextual"/>
          </w:rPr>
          <w:t>Accesează</w:t>
        </w:r>
        <w:proofErr w:type="spellEnd"/>
        <w:r w:rsidRPr="001C52D4">
          <w:rPr>
            <w:rFonts w:ascii="Times New Roman" w:hAnsi="Times New Roman" w:cs="Times New Roman"/>
            <w:i/>
            <w:iCs/>
            <w:color w:val="0563C1" w:themeColor="hyperlink"/>
            <w:kern w:val="2"/>
            <w:sz w:val="16"/>
            <w:szCs w:val="16"/>
            <w:u w:val="single"/>
            <w14:ligatures w14:val="standardContextual"/>
          </w:rPr>
          <w:t xml:space="preserve"> </w:t>
        </w:r>
        <w:proofErr w:type="spellStart"/>
        <w:r w:rsidRPr="001C52D4">
          <w:rPr>
            <w:rFonts w:ascii="Times New Roman" w:hAnsi="Times New Roman" w:cs="Times New Roman"/>
            <w:i/>
            <w:iCs/>
            <w:color w:val="0563C1" w:themeColor="hyperlink"/>
            <w:kern w:val="2"/>
            <w:sz w:val="16"/>
            <w:szCs w:val="16"/>
            <w:u w:val="single"/>
            <w14:ligatures w14:val="standardContextual"/>
          </w:rPr>
          <w:t>sursa</w:t>
        </w:r>
        <w:proofErr w:type="spellEnd"/>
      </w:hyperlink>
      <w:r w:rsidRPr="001C52D4">
        <w:rPr>
          <w:rFonts w:ascii="Times New Roman" w:hAnsi="Times New Roman" w:cs="Times New Roman"/>
          <w:i/>
          <w:iCs/>
          <w:kern w:val="2"/>
          <w:sz w:val="16"/>
          <w:szCs w:val="16"/>
          <w14:ligatures w14:val="standardContextual"/>
        </w:rPr>
        <w:t xml:space="preserve"> </w:t>
      </w:r>
    </w:p>
    <w:p w:rsidR="003F5D83" w:rsidRPr="000C2BE6" w:rsidRDefault="003F5D83" w:rsidP="003F5D83">
      <w:pPr>
        <w:spacing w:after="0" w:line="240" w:lineRule="auto"/>
        <w:ind w:left="284" w:right="261"/>
        <w:jc w:val="both"/>
        <w:rPr>
          <w:rFonts w:ascii="Times New Roman" w:hAnsi="Times New Roman" w:cs="Times New Roman"/>
          <w:i/>
          <w:iCs/>
          <w:kern w:val="2"/>
          <w:sz w:val="20"/>
          <w:szCs w:val="20"/>
          <w14:ligatures w14:val="standardContextual"/>
        </w:rPr>
      </w:pPr>
    </w:p>
    <w:p w:rsidR="00346506" w:rsidRPr="009E60B2" w:rsidRDefault="00346506" w:rsidP="003F5D83">
      <w:pPr>
        <w:spacing w:after="0" w:line="240" w:lineRule="auto"/>
        <w:ind w:firstLine="709"/>
        <w:jc w:val="both"/>
        <w:rPr>
          <w:rFonts w:ascii="Times New Roman" w:hAnsi="Times New Roman" w:cs="Times New Roman"/>
          <w:kern w:val="2"/>
          <w:sz w:val="24"/>
          <w:szCs w:val="24"/>
          <w14:ligatures w14:val="standardContextual"/>
        </w:rPr>
      </w:pP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0C2BE6">
        <w:rPr>
          <w:rFonts w:ascii="Times New Roman" w:hAnsi="Times New Roman" w:cs="Times New Roman"/>
          <w:kern w:val="2"/>
          <w:sz w:val="24"/>
          <w:szCs w:val="24"/>
          <w:lang w:val="ru-RU"/>
          <w14:ligatures w14:val="standardContextual"/>
        </w:rPr>
        <w:t>Протяжённость автомобильных дорог с твёрдым покрытием является важным показателем, характеризующих уровень развития транспортной инфраструктуры и доступность территорий. Соответствующие данные приведен</w:t>
      </w:r>
      <w:r w:rsidRPr="00E26A54">
        <w:rPr>
          <w:rFonts w:ascii="Times New Roman" w:hAnsi="Times New Roman" w:cs="Times New Roman"/>
          <w:kern w:val="2"/>
          <w:sz w:val="24"/>
          <w:szCs w:val="24"/>
          <w:lang w:val="ru-RU"/>
          <w14:ligatures w14:val="standardContextual"/>
        </w:rPr>
        <w:t>ы в таблице 2.21.</w:t>
      </w:r>
    </w:p>
    <w:p w:rsidR="00521AC7" w:rsidRPr="000C2BE6" w:rsidRDefault="00521AC7"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BD6565" w:rsidRDefault="00BD6565" w:rsidP="003F5D83">
      <w:pPr>
        <w:spacing w:after="0" w:line="240" w:lineRule="auto"/>
        <w:jc w:val="center"/>
        <w:rPr>
          <w:rFonts w:ascii="Times New Roman" w:hAnsi="Times New Roman" w:cs="Times New Roman"/>
          <w:b/>
          <w:bCs/>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0C2BE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2.21.</w:t>
      </w:r>
      <w:r w:rsidRPr="000C2BE6">
        <w:rPr>
          <w:rFonts w:ascii="Times New Roman" w:hAnsi="Times New Roman" w:cs="Times New Roman"/>
          <w:b/>
          <w:bCs/>
          <w:kern w:val="2"/>
          <w:sz w:val="24"/>
          <w:szCs w:val="24"/>
          <w:lang w:val="ru-RU"/>
          <w14:ligatures w14:val="standardContextual"/>
        </w:rPr>
        <w:t xml:space="preserve"> Протяжённость автомобильных дорог с твёрдым покрытием по регионам Республики Молдова в 20</w:t>
      </w:r>
      <w:r>
        <w:rPr>
          <w:rFonts w:ascii="Times New Roman" w:hAnsi="Times New Roman" w:cs="Times New Roman"/>
          <w:b/>
          <w:bCs/>
          <w:kern w:val="2"/>
          <w:sz w:val="24"/>
          <w:szCs w:val="24"/>
          <w:lang w:val="ru-RU"/>
          <w14:ligatures w14:val="standardContextual"/>
        </w:rPr>
        <w:t>20</w:t>
      </w:r>
      <w:r w:rsidRPr="000C2BE6">
        <w:rPr>
          <w:rFonts w:ascii="Times New Roman" w:hAnsi="Times New Roman" w:cs="Times New Roman"/>
          <w:b/>
          <w:bCs/>
          <w:kern w:val="2"/>
          <w:sz w:val="24"/>
          <w:szCs w:val="24"/>
          <w:lang w:val="ru-RU"/>
          <w14:ligatures w14:val="standardContextual"/>
        </w:rPr>
        <w:t>–2024 гг., км</w:t>
      </w:r>
    </w:p>
    <w:p w:rsidR="00521AC7" w:rsidRPr="000C2BE6" w:rsidRDefault="00521AC7"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357"/>
        <w:gridCol w:w="1358"/>
        <w:gridCol w:w="1358"/>
        <w:gridCol w:w="1358"/>
        <w:gridCol w:w="1176"/>
      </w:tblGrid>
      <w:tr w:rsidR="003F5D83" w:rsidRPr="000C2BE6" w:rsidTr="00521AC7">
        <w:trPr>
          <w:trHeight w:val="294"/>
        </w:trPr>
        <w:tc>
          <w:tcPr>
            <w:tcW w:w="0" w:type="auto"/>
            <w:hideMark/>
          </w:tcPr>
          <w:p w:rsidR="003F5D83" w:rsidRPr="000C2BE6" w:rsidRDefault="003F5D83" w:rsidP="003F5D83">
            <w:pPr>
              <w:jc w:val="both"/>
              <w:rPr>
                <w:rFonts w:ascii="Times New Roman" w:hAnsi="Times New Roman" w:cs="Times New Roman"/>
                <w:b/>
                <w:bCs/>
                <w:kern w:val="2"/>
                <w:lang w:val="ru-RU"/>
                <w14:ligatures w14:val="standardContextual"/>
              </w:rPr>
            </w:pPr>
            <w:r w:rsidRPr="000C2BE6">
              <w:rPr>
                <w:rFonts w:ascii="Times New Roman" w:hAnsi="Times New Roman" w:cs="Times New Roman"/>
                <w:b/>
                <w:bCs/>
                <w:kern w:val="2"/>
                <w:lang w:val="ru-RU"/>
                <w14:ligatures w14:val="standardContextual"/>
              </w:rPr>
              <w:t>Регион</w:t>
            </w:r>
          </w:p>
        </w:tc>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2020</w:t>
            </w:r>
          </w:p>
        </w:tc>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2021</w:t>
            </w:r>
          </w:p>
        </w:tc>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2022</w:t>
            </w:r>
          </w:p>
        </w:tc>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2023</w:t>
            </w:r>
          </w:p>
        </w:tc>
        <w:tc>
          <w:tcPr>
            <w:tcW w:w="1176" w:type="dxa"/>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b/>
                <w:bCs/>
                <w:kern w:val="2"/>
                <w14:ligatures w14:val="standardContextual"/>
              </w:rPr>
              <w:t>2024</w:t>
            </w:r>
          </w:p>
        </w:tc>
      </w:tr>
      <w:tr w:rsidR="003F5D83" w:rsidRPr="000C2BE6" w:rsidTr="00521AC7">
        <w:trPr>
          <w:trHeight w:val="294"/>
        </w:trPr>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proofErr w:type="spellStart"/>
            <w:r w:rsidRPr="000C2BE6">
              <w:rPr>
                <w:rFonts w:ascii="Times New Roman" w:hAnsi="Times New Roman" w:cs="Times New Roman"/>
                <w:kern w:val="2"/>
                <w14:ligatures w14:val="standardContextual"/>
              </w:rPr>
              <w:t>Всего</w:t>
            </w:r>
            <w:proofErr w:type="spellEnd"/>
            <w:r w:rsidRPr="000C2BE6">
              <w:rPr>
                <w:rFonts w:ascii="Times New Roman" w:hAnsi="Times New Roman" w:cs="Times New Roman"/>
                <w:kern w:val="2"/>
                <w14:ligatures w14:val="standardContextual"/>
              </w:rPr>
              <w:t xml:space="preserve"> </w:t>
            </w:r>
            <w:proofErr w:type="spellStart"/>
            <w:r w:rsidRPr="000C2BE6">
              <w:rPr>
                <w:rFonts w:ascii="Times New Roman" w:hAnsi="Times New Roman" w:cs="Times New Roman"/>
                <w:kern w:val="2"/>
                <w14:ligatures w14:val="standardContextual"/>
              </w:rPr>
              <w:t>по</w:t>
            </w:r>
            <w:proofErr w:type="spellEnd"/>
            <w:r w:rsidRPr="000C2BE6">
              <w:rPr>
                <w:rFonts w:ascii="Times New Roman" w:hAnsi="Times New Roman" w:cs="Times New Roman"/>
                <w:kern w:val="2"/>
                <w14:ligatures w14:val="standardContextual"/>
              </w:rPr>
              <w:t xml:space="preserve"> </w:t>
            </w:r>
            <w:proofErr w:type="spellStart"/>
            <w:r w:rsidRPr="000C2BE6">
              <w:rPr>
                <w:rFonts w:ascii="Times New Roman" w:hAnsi="Times New Roman" w:cs="Times New Roman"/>
                <w:kern w:val="2"/>
                <w14:ligatures w14:val="standardContextual"/>
              </w:rPr>
              <w:t>стране</w:t>
            </w:r>
            <w:proofErr w:type="spellEnd"/>
            <w:r w:rsidRPr="000C2BE6">
              <w:rPr>
                <w:rFonts w:ascii="Times New Roman" w:hAnsi="Times New Roman" w:cs="Times New Roman"/>
                <w:kern w:val="2"/>
                <w14:ligatures w14:val="standardContextual"/>
              </w:rPr>
              <w:t xml:space="preserve"> </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9 097,9</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9 170,3</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9 193,2</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9 182,9</w:t>
            </w:r>
          </w:p>
        </w:tc>
        <w:tc>
          <w:tcPr>
            <w:tcW w:w="1176" w:type="dxa"/>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9 228,6</w:t>
            </w:r>
          </w:p>
        </w:tc>
      </w:tr>
      <w:tr w:rsidR="003F5D83" w:rsidRPr="000C2BE6" w:rsidTr="00521AC7">
        <w:trPr>
          <w:trHeight w:val="282"/>
        </w:trPr>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t>РР Кишинев</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111,8</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111,8</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111,8</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111,8</w:t>
            </w:r>
          </w:p>
        </w:tc>
        <w:tc>
          <w:tcPr>
            <w:tcW w:w="1176" w:type="dxa"/>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125,8</w:t>
            </w:r>
          </w:p>
        </w:tc>
      </w:tr>
      <w:tr w:rsidR="003F5D83" w:rsidRPr="000C2BE6" w:rsidTr="00521AC7">
        <w:trPr>
          <w:trHeight w:val="294"/>
        </w:trPr>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t xml:space="preserve">РР </w:t>
            </w:r>
            <w:proofErr w:type="spellStart"/>
            <w:r w:rsidRPr="000C2BE6">
              <w:rPr>
                <w:rFonts w:ascii="Times New Roman" w:hAnsi="Times New Roman" w:cs="Times New Roman"/>
                <w:kern w:val="2"/>
                <w14:ligatures w14:val="standardContextual"/>
              </w:rPr>
              <w:t>Север</w:t>
            </w:r>
            <w:proofErr w:type="spellEnd"/>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3 342,6</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3 326,4</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3 326,4</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3 327,4</w:t>
            </w:r>
          </w:p>
        </w:tc>
        <w:tc>
          <w:tcPr>
            <w:tcW w:w="1176" w:type="dxa"/>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3 334,5</w:t>
            </w:r>
          </w:p>
        </w:tc>
      </w:tr>
      <w:tr w:rsidR="003F5D83" w:rsidRPr="000C2BE6" w:rsidTr="00521AC7">
        <w:trPr>
          <w:trHeight w:val="294"/>
        </w:trPr>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lastRenderedPageBreak/>
              <w:t xml:space="preserve">РР </w:t>
            </w:r>
            <w:proofErr w:type="spellStart"/>
            <w:r w:rsidRPr="000C2BE6">
              <w:rPr>
                <w:rFonts w:ascii="Times New Roman" w:hAnsi="Times New Roman" w:cs="Times New Roman"/>
                <w:kern w:val="2"/>
                <w14:ligatures w14:val="standardContextual"/>
              </w:rPr>
              <w:t>Центр</w:t>
            </w:r>
            <w:proofErr w:type="spellEnd"/>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3 286,3</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3 368,6</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3 365,0</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3 364,1</w:t>
            </w:r>
          </w:p>
        </w:tc>
        <w:tc>
          <w:tcPr>
            <w:tcW w:w="1176" w:type="dxa"/>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3 367,5</w:t>
            </w:r>
          </w:p>
        </w:tc>
      </w:tr>
      <w:tr w:rsidR="003F5D83" w:rsidRPr="000C2BE6" w:rsidTr="00521AC7">
        <w:trPr>
          <w:trHeight w:val="294"/>
        </w:trPr>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t xml:space="preserve">РР </w:t>
            </w:r>
            <w:proofErr w:type="spellStart"/>
            <w:r w:rsidRPr="000C2BE6">
              <w:rPr>
                <w:rFonts w:ascii="Times New Roman" w:hAnsi="Times New Roman" w:cs="Times New Roman"/>
                <w:kern w:val="2"/>
                <w14:ligatures w14:val="standardContextual"/>
              </w:rPr>
              <w:t>Юг</w:t>
            </w:r>
            <w:proofErr w:type="spellEnd"/>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1 988,2</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1 994,4</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2 017,9</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2 007,6</w:t>
            </w:r>
          </w:p>
        </w:tc>
        <w:tc>
          <w:tcPr>
            <w:tcW w:w="1176" w:type="dxa"/>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2 006,1</w:t>
            </w:r>
          </w:p>
        </w:tc>
      </w:tr>
      <w:tr w:rsidR="003F5D83" w:rsidRPr="000C2BE6" w:rsidTr="00521AC7">
        <w:trPr>
          <w:trHeight w:val="294"/>
        </w:trPr>
        <w:tc>
          <w:tcPr>
            <w:tcW w:w="0" w:type="auto"/>
            <w:hideMark/>
          </w:tcPr>
          <w:p w:rsidR="003F5D83" w:rsidRPr="000C2BE6" w:rsidRDefault="003F5D83" w:rsidP="003F5D83">
            <w:pPr>
              <w:jc w:val="both"/>
              <w:rPr>
                <w:rFonts w:ascii="Times New Roman" w:hAnsi="Times New Roman" w:cs="Times New Roman"/>
                <w:b/>
                <w:bCs/>
                <w:kern w:val="2"/>
                <w14:ligatures w14:val="standardContextual"/>
              </w:rPr>
            </w:pPr>
            <w:r w:rsidRPr="000C2BE6">
              <w:rPr>
                <w:rFonts w:ascii="Times New Roman" w:hAnsi="Times New Roman" w:cs="Times New Roman"/>
                <w:kern w:val="2"/>
                <w:lang w:val="ru-RU"/>
                <w14:ligatures w14:val="standardContextual"/>
              </w:rPr>
              <w:t xml:space="preserve">РР АТО </w:t>
            </w:r>
            <w:proofErr w:type="spellStart"/>
            <w:r w:rsidRPr="000C2BE6">
              <w:rPr>
                <w:rFonts w:ascii="Times New Roman" w:hAnsi="Times New Roman" w:cs="Times New Roman"/>
                <w:kern w:val="2"/>
                <w14:ligatures w14:val="standardContextual"/>
              </w:rPr>
              <w:t>Гагаузия</w:t>
            </w:r>
            <w:proofErr w:type="spellEnd"/>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369,0</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369,1</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372,1</w:t>
            </w:r>
          </w:p>
        </w:tc>
        <w:tc>
          <w:tcPr>
            <w:tcW w:w="0" w:type="auto"/>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372,1</w:t>
            </w:r>
          </w:p>
        </w:tc>
        <w:tc>
          <w:tcPr>
            <w:tcW w:w="1176" w:type="dxa"/>
            <w:noWrap/>
            <w:hideMark/>
          </w:tcPr>
          <w:p w:rsidR="003F5D83" w:rsidRPr="000C2BE6" w:rsidRDefault="003F5D83" w:rsidP="003F5D83">
            <w:pPr>
              <w:jc w:val="right"/>
              <w:rPr>
                <w:rFonts w:ascii="Times New Roman" w:hAnsi="Times New Roman" w:cs="Times New Roman"/>
                <w:kern w:val="2"/>
                <w14:ligatures w14:val="standardContextual"/>
              </w:rPr>
            </w:pPr>
            <w:r w:rsidRPr="000C2BE6">
              <w:rPr>
                <w:rFonts w:ascii="Times New Roman" w:hAnsi="Times New Roman" w:cs="Times New Roman"/>
                <w:kern w:val="2"/>
                <w14:ligatures w14:val="standardContextual"/>
              </w:rPr>
              <w:t>394,8</w:t>
            </w:r>
          </w:p>
        </w:tc>
      </w:tr>
    </w:tbl>
    <w:p w:rsidR="003F5D83" w:rsidRPr="001C52D4" w:rsidRDefault="003F5D83" w:rsidP="003F5D83">
      <w:pPr>
        <w:tabs>
          <w:tab w:val="left" w:pos="8931"/>
        </w:tabs>
        <w:spacing w:after="0" w:line="240" w:lineRule="auto"/>
        <w:ind w:right="-22"/>
        <w:jc w:val="both"/>
        <w:rPr>
          <w:rFonts w:ascii="Times New Roman" w:hAnsi="Times New Roman" w:cs="Times New Roman"/>
          <w:i/>
          <w:iCs/>
          <w:color w:val="0563C1" w:themeColor="hyperlink"/>
          <w:kern w:val="2"/>
          <w:sz w:val="16"/>
          <w:szCs w:val="16"/>
          <w:u w:val="single"/>
          <w14:ligatures w14:val="standardContextual"/>
        </w:rPr>
      </w:pPr>
      <w:proofErr w:type="spellStart"/>
      <w:r w:rsidRPr="001C52D4">
        <w:rPr>
          <w:rFonts w:ascii="Times New Roman" w:hAnsi="Times New Roman" w:cs="Times New Roman"/>
          <w:i/>
          <w:iCs/>
          <w:kern w:val="2"/>
          <w:sz w:val="16"/>
          <w:szCs w:val="16"/>
          <w14:ligatures w14:val="standardContextual"/>
        </w:rPr>
        <w:t>Источник</w:t>
      </w:r>
      <w:proofErr w:type="spellEnd"/>
      <w:r w:rsidRPr="001C52D4">
        <w:rPr>
          <w:rFonts w:ascii="Times New Roman" w:hAnsi="Times New Roman" w:cs="Times New Roman"/>
          <w:i/>
          <w:iCs/>
          <w:kern w:val="2"/>
          <w:sz w:val="16"/>
          <w:szCs w:val="16"/>
          <w14:ligatures w14:val="standardContextual"/>
        </w:rPr>
        <w:t xml:space="preserve">: Banca de date </w:t>
      </w:r>
      <w:proofErr w:type="spellStart"/>
      <w:r w:rsidRPr="001C52D4">
        <w:rPr>
          <w:rFonts w:ascii="Times New Roman" w:hAnsi="Times New Roman" w:cs="Times New Roman"/>
          <w:i/>
          <w:iCs/>
          <w:kern w:val="2"/>
          <w:sz w:val="16"/>
          <w:szCs w:val="16"/>
          <w14:ligatures w14:val="standardContextual"/>
        </w:rPr>
        <w:t>statistică</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StatBank</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Lungimea</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drumurilor</w:t>
      </w:r>
      <w:proofErr w:type="spellEnd"/>
      <w:r w:rsidRPr="001C52D4">
        <w:rPr>
          <w:rFonts w:ascii="Times New Roman" w:hAnsi="Times New Roman" w:cs="Times New Roman"/>
          <w:i/>
          <w:iCs/>
          <w:kern w:val="2"/>
          <w:sz w:val="16"/>
          <w:szCs w:val="16"/>
          <w14:ligatures w14:val="standardContextual"/>
        </w:rPr>
        <w:t xml:space="preserve">, pe </w:t>
      </w:r>
      <w:proofErr w:type="spellStart"/>
      <w:r w:rsidRPr="001C52D4">
        <w:rPr>
          <w:rFonts w:ascii="Times New Roman" w:hAnsi="Times New Roman" w:cs="Times New Roman"/>
          <w:i/>
          <w:iCs/>
          <w:kern w:val="2"/>
          <w:sz w:val="16"/>
          <w:szCs w:val="16"/>
          <w14:ligatures w14:val="standardContextual"/>
        </w:rPr>
        <w:t>categorii</w:t>
      </w:r>
      <w:proofErr w:type="spellEnd"/>
      <w:r w:rsidRPr="001C52D4">
        <w:rPr>
          <w:rFonts w:ascii="Times New Roman" w:hAnsi="Times New Roman" w:cs="Times New Roman"/>
          <w:i/>
          <w:iCs/>
          <w:kern w:val="2"/>
          <w:sz w:val="16"/>
          <w:szCs w:val="16"/>
          <w14:ligatures w14:val="standardContextual"/>
        </w:rPr>
        <w:t xml:space="preserve"> de </w:t>
      </w:r>
      <w:proofErr w:type="spellStart"/>
      <w:r w:rsidRPr="001C52D4">
        <w:rPr>
          <w:rFonts w:ascii="Times New Roman" w:hAnsi="Times New Roman" w:cs="Times New Roman"/>
          <w:i/>
          <w:iCs/>
          <w:kern w:val="2"/>
          <w:sz w:val="16"/>
          <w:szCs w:val="16"/>
          <w14:ligatures w14:val="standardContextual"/>
        </w:rPr>
        <w:t>drumuri</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și</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tipul</w:t>
      </w:r>
      <w:proofErr w:type="spellEnd"/>
      <w:r w:rsidRPr="001C52D4">
        <w:rPr>
          <w:rFonts w:ascii="Times New Roman" w:hAnsi="Times New Roman" w:cs="Times New Roman"/>
          <w:i/>
          <w:iCs/>
          <w:kern w:val="2"/>
          <w:sz w:val="16"/>
          <w:szCs w:val="16"/>
          <w14:ligatures w14:val="standardContextual"/>
        </w:rPr>
        <w:t xml:space="preserve"> de </w:t>
      </w:r>
      <w:proofErr w:type="spellStart"/>
      <w:r w:rsidRPr="001C52D4">
        <w:rPr>
          <w:rFonts w:ascii="Times New Roman" w:hAnsi="Times New Roman" w:cs="Times New Roman"/>
          <w:i/>
          <w:iCs/>
          <w:kern w:val="2"/>
          <w:sz w:val="16"/>
          <w:szCs w:val="16"/>
          <w14:ligatures w14:val="standardContextual"/>
        </w:rPr>
        <w:t>îmbrăcăminte</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în</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profil</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teritorial</w:t>
      </w:r>
      <w:proofErr w:type="spellEnd"/>
      <w:r w:rsidRPr="001C52D4">
        <w:rPr>
          <w:rFonts w:ascii="Times New Roman" w:hAnsi="Times New Roman" w:cs="Times New Roman"/>
          <w:i/>
          <w:iCs/>
          <w:kern w:val="2"/>
          <w:sz w:val="16"/>
          <w:szCs w:val="16"/>
          <w14:ligatures w14:val="standardContextual"/>
        </w:rPr>
        <w:t xml:space="preserve">, la </w:t>
      </w:r>
      <w:proofErr w:type="spellStart"/>
      <w:r w:rsidRPr="001C52D4">
        <w:rPr>
          <w:rFonts w:ascii="Times New Roman" w:hAnsi="Times New Roman" w:cs="Times New Roman"/>
          <w:i/>
          <w:iCs/>
          <w:kern w:val="2"/>
          <w:sz w:val="16"/>
          <w:szCs w:val="16"/>
          <w14:ligatures w14:val="standardContextual"/>
        </w:rPr>
        <w:t>sfârșitul</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anului</w:t>
      </w:r>
      <w:proofErr w:type="spellEnd"/>
      <w:r w:rsidRPr="001C52D4">
        <w:rPr>
          <w:rFonts w:ascii="Times New Roman" w:hAnsi="Times New Roman" w:cs="Times New Roman"/>
          <w:i/>
          <w:iCs/>
          <w:kern w:val="2"/>
          <w:sz w:val="16"/>
          <w:szCs w:val="16"/>
          <w14:ligatures w14:val="standardContextual"/>
        </w:rPr>
        <w:t>, 2008–2024 [</w:t>
      </w:r>
      <w:proofErr w:type="spellStart"/>
      <w:r w:rsidRPr="001C52D4">
        <w:rPr>
          <w:rFonts w:ascii="Times New Roman" w:hAnsi="Times New Roman" w:cs="Times New Roman"/>
          <w:i/>
          <w:iCs/>
          <w:kern w:val="2"/>
          <w:sz w:val="16"/>
          <w:szCs w:val="16"/>
          <w14:ligatures w14:val="standardContextual"/>
        </w:rPr>
        <w:t>resursă</w:t>
      </w:r>
      <w:proofErr w:type="spellEnd"/>
      <w:r w:rsidRPr="001C52D4">
        <w:rPr>
          <w:rFonts w:ascii="Times New Roman" w:hAnsi="Times New Roman" w:cs="Times New Roman"/>
          <w:i/>
          <w:iCs/>
          <w:kern w:val="2"/>
          <w:sz w:val="16"/>
          <w:szCs w:val="16"/>
          <w14:ligatures w14:val="standardContextual"/>
        </w:rPr>
        <w:t xml:space="preserve"> </w:t>
      </w:r>
      <w:proofErr w:type="spellStart"/>
      <w:r w:rsidRPr="001C52D4">
        <w:rPr>
          <w:rFonts w:ascii="Times New Roman" w:hAnsi="Times New Roman" w:cs="Times New Roman"/>
          <w:i/>
          <w:iCs/>
          <w:kern w:val="2"/>
          <w:sz w:val="16"/>
          <w:szCs w:val="16"/>
          <w14:ligatures w14:val="standardContextual"/>
        </w:rPr>
        <w:t>electronică</w:t>
      </w:r>
      <w:proofErr w:type="spellEnd"/>
      <w:r w:rsidRPr="001C52D4">
        <w:rPr>
          <w:rFonts w:ascii="Times New Roman" w:hAnsi="Times New Roman" w:cs="Times New Roman"/>
          <w:i/>
          <w:iCs/>
          <w:kern w:val="2"/>
          <w:sz w:val="16"/>
          <w:szCs w:val="16"/>
          <w14:ligatures w14:val="standardContextual"/>
        </w:rPr>
        <w:t xml:space="preserve">]. – </w:t>
      </w:r>
      <w:proofErr w:type="spellStart"/>
      <w:r w:rsidRPr="001C52D4">
        <w:rPr>
          <w:rFonts w:ascii="Times New Roman" w:hAnsi="Times New Roman" w:cs="Times New Roman"/>
          <w:i/>
          <w:iCs/>
          <w:kern w:val="2"/>
          <w:sz w:val="16"/>
          <w:szCs w:val="16"/>
          <w14:ligatures w14:val="standardContextual"/>
        </w:rPr>
        <w:t>Disponibil</w:t>
      </w:r>
      <w:proofErr w:type="spellEnd"/>
      <w:r w:rsidRPr="001C52D4">
        <w:rPr>
          <w:rFonts w:ascii="Times New Roman" w:hAnsi="Times New Roman" w:cs="Times New Roman"/>
          <w:i/>
          <w:iCs/>
          <w:kern w:val="2"/>
          <w:sz w:val="16"/>
          <w:szCs w:val="16"/>
          <w14:ligatures w14:val="standardContextual"/>
        </w:rPr>
        <w:t xml:space="preserve">: </w:t>
      </w:r>
      <w:hyperlink r:id="rId46" w:tgtFrame="_new" w:history="1">
        <w:r w:rsidRPr="001C52D4">
          <w:rPr>
            <w:rFonts w:ascii="Times New Roman" w:hAnsi="Times New Roman" w:cs="Times New Roman"/>
            <w:i/>
            <w:iCs/>
            <w:color w:val="0563C1" w:themeColor="hyperlink"/>
            <w:kern w:val="2"/>
            <w:sz w:val="16"/>
            <w:szCs w:val="16"/>
            <w:u w:val="single"/>
            <w14:ligatures w14:val="standardContextual"/>
          </w:rPr>
          <w:t>https://statbank.statistica.md/PxWeb/pxweb/ro/40%20Statistica%20economica/40%20Statistica%20economica__19%20TRA__TRA010/TRA010300reg.px/</w:t>
        </w:r>
      </w:hyperlink>
    </w:p>
    <w:p w:rsidR="003F5D83" w:rsidRDefault="003F5D83" w:rsidP="003F5D83">
      <w:pPr>
        <w:spacing w:after="0" w:line="240" w:lineRule="auto"/>
        <w:ind w:left="284" w:right="261"/>
        <w:jc w:val="both"/>
        <w:rPr>
          <w:rFonts w:ascii="Times New Roman" w:hAnsi="Times New Roman" w:cs="Times New Roman"/>
          <w:i/>
          <w:iCs/>
          <w:kern w:val="2"/>
          <w:sz w:val="20"/>
          <w:szCs w:val="20"/>
          <w14:ligatures w14:val="standardContextual"/>
        </w:rPr>
      </w:pPr>
    </w:p>
    <w:p w:rsidR="00346506" w:rsidRPr="000C2BE6" w:rsidRDefault="00346506" w:rsidP="003F5D83">
      <w:pPr>
        <w:spacing w:after="0" w:line="240" w:lineRule="auto"/>
        <w:ind w:left="284" w:right="261"/>
        <w:jc w:val="both"/>
        <w:rPr>
          <w:rFonts w:ascii="Times New Roman" w:hAnsi="Times New Roman" w:cs="Times New Roman"/>
          <w:i/>
          <w:iCs/>
          <w:kern w:val="2"/>
          <w:sz w:val="20"/>
          <w:szCs w:val="20"/>
          <w14:ligatures w14:val="standardContextual"/>
        </w:rPr>
      </w:pPr>
    </w:p>
    <w:p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Общая протяжённость автомобильных дорог с твёрдым покрытием в Республике Молдова в 2020–2024 гг. остаётся относительно стабильной, увеличившись с 9 097,9 до 9 228,6 км, или на 130,7 км (около 1,4%), что свидетельствует о низких темпах развития дорожной инфраструктуры.</w:t>
      </w:r>
    </w:p>
    <w:p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Наибольшая протяжённость дорог сосредоточена в регионах Центр и Север — около 3,3 тыс. км каждый, при этом существенных изменений за рассматриваемый период не наблюдается. В регионе Центр показатель колеблется в пределах 3 286,3–3 368,6 км, а в регионе Север — 3 326,4–3 342,6 км.</w:t>
      </w:r>
    </w:p>
    <w:p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В южном регионе протяжённость дорог увеличилась с 1 988,2 до 2 006,1 км (на 17,9 км или около 0,9%), однако динамика остаётся незначительной и нестабильной. В муниципии Кишинёв показатель сохранялся на уровне 111,8 км до 2023 г., однако в 2024 г. зафиксирован рост до 125,8 км, что свидетельствует о локальном расширении дорожной сети.</w:t>
      </w:r>
    </w:p>
    <w:p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В АТО Гагаузия протяжённость дорог с твёрдым покрытием увеличилась с 369,0 до 394,8 км, то есть на 25,8 км или около 7,0%, что является одним из наиболее высоких темпов роста среди регионов. Несмотря на это, в целом развитие дорожной инфраструктуры остаётся ограниченным, а масштабы сети существенно уступают более крупным регионам страны.</w:t>
      </w:r>
    </w:p>
    <w:p w:rsidR="003F5D83" w:rsidRPr="00603B6D"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603B6D">
        <w:rPr>
          <w:rFonts w:ascii="Times New Roman" w:hAnsi="Times New Roman" w:cs="Times New Roman"/>
          <w:kern w:val="2"/>
          <w:sz w:val="24"/>
          <w:szCs w:val="24"/>
          <w:lang w:val="ru-RU"/>
          <w14:ligatures w14:val="standardContextual"/>
        </w:rPr>
        <w:t>Следует отметить, что в условиях ограниченного развития транспортной инфраструктуры и отсутствия муниципального общественного транспорта в городах региона, значительная часть перевозок осуществляется частными операторами, использующими изношенные транспортные средства, что негативно сказывается на качестве транспортных услуг и требует совершенствования системы управления городской мобильностью.</w:t>
      </w:r>
    </w:p>
    <w:p w:rsidR="003F5D83" w:rsidRDefault="003F5D83" w:rsidP="003F5D83">
      <w:pPr>
        <w:spacing w:after="0" w:line="240" w:lineRule="auto"/>
        <w:rPr>
          <w:rFonts w:ascii="Times New Roman" w:eastAsia="Times New Roman" w:hAnsi="Times New Roman" w:cs="Times New Roman"/>
          <w:b/>
          <w:bCs/>
          <w:color w:val="2F2F2F"/>
          <w:sz w:val="24"/>
          <w:szCs w:val="24"/>
          <w:lang w:val="ru-RU"/>
        </w:rPr>
      </w:pPr>
    </w:p>
    <w:p w:rsidR="00346506" w:rsidRDefault="00346506" w:rsidP="003F5D83">
      <w:pPr>
        <w:spacing w:after="0" w:line="240" w:lineRule="auto"/>
        <w:rPr>
          <w:rFonts w:ascii="Times New Roman" w:eastAsia="Times New Roman" w:hAnsi="Times New Roman" w:cs="Times New Roman"/>
          <w:b/>
          <w:bCs/>
          <w:color w:val="2F2F2F"/>
          <w:sz w:val="24"/>
          <w:szCs w:val="24"/>
          <w:lang w:val="ru-RU"/>
        </w:rPr>
      </w:pPr>
    </w:p>
    <w:p w:rsidR="003F5D83" w:rsidRDefault="003F5D83" w:rsidP="003F5D83">
      <w:pPr>
        <w:spacing w:after="0" w:line="240" w:lineRule="auto"/>
        <w:rPr>
          <w:rFonts w:ascii="Times New Roman" w:eastAsia="Times New Roman" w:hAnsi="Times New Roman" w:cs="Times New Roman"/>
          <w:b/>
          <w:bCs/>
          <w:color w:val="000000"/>
          <w:sz w:val="24"/>
          <w:szCs w:val="24"/>
          <w:lang w:val="ru-RU"/>
        </w:rPr>
      </w:pPr>
      <w:r w:rsidRPr="00696631">
        <w:rPr>
          <w:rFonts w:ascii="Times New Roman" w:eastAsia="Times New Roman" w:hAnsi="Times New Roman" w:cs="Times New Roman"/>
          <w:b/>
          <w:bCs/>
          <w:color w:val="2F2F2F"/>
          <w:sz w:val="24"/>
          <w:szCs w:val="24"/>
          <w:lang w:val="ru-RU"/>
        </w:rPr>
        <w:t xml:space="preserve">2.5. </w:t>
      </w:r>
      <w:r w:rsidRPr="00696631">
        <w:rPr>
          <w:rFonts w:ascii="Times New Roman" w:eastAsia="Times New Roman" w:hAnsi="Times New Roman" w:cs="Times New Roman"/>
          <w:b/>
          <w:bCs/>
          <w:color w:val="000000"/>
          <w:sz w:val="24"/>
          <w:szCs w:val="24"/>
          <w:lang w:val="ru-RU"/>
        </w:rPr>
        <w:t>Развитие сельско-городского взаимодействия</w:t>
      </w:r>
      <w:r>
        <w:rPr>
          <w:rFonts w:ascii="Times New Roman" w:eastAsia="Times New Roman" w:hAnsi="Times New Roman" w:cs="Times New Roman"/>
          <w:b/>
          <w:bCs/>
          <w:color w:val="000000"/>
          <w:sz w:val="24"/>
          <w:szCs w:val="24"/>
          <w:lang w:val="ru-RU"/>
        </w:rPr>
        <w:t> </w:t>
      </w:r>
    </w:p>
    <w:p w:rsidR="00346506" w:rsidRPr="00602515" w:rsidRDefault="00346506" w:rsidP="003F5D83">
      <w:pPr>
        <w:spacing w:after="0" w:line="240" w:lineRule="auto"/>
        <w:rPr>
          <w:lang w:val="ru-RU"/>
        </w:rPr>
      </w:pPr>
    </w:p>
    <w:p w:rsidR="003F5D83" w:rsidRPr="008B54FF"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8B54FF">
        <w:rPr>
          <w:rFonts w:ascii="Times New Roman" w:eastAsia="Times New Roman" w:hAnsi="Times New Roman" w:cs="Times New Roman"/>
          <w:color w:val="000000"/>
          <w:sz w:val="24"/>
          <w:szCs w:val="24"/>
          <w:lang w:val="ru-RU"/>
        </w:rPr>
        <w:t>Развитие сельско-городского взаимодействия является важным аспектом анализа социально-экономических процессов региона, поскольку отражает распределение населения, особенности занятости и уровень урбанизации. Для АТО Гагаузия характерна высокая доля сельского населения, что оказывает существенное влияние на структуру экономики, рынок труда и миграционные процессы.</w:t>
      </w:r>
    </w:p>
    <w:p w:rsidR="003F5D83" w:rsidRPr="0042339B" w:rsidRDefault="003F5D83" w:rsidP="003F5D83">
      <w:pPr>
        <w:spacing w:after="0" w:line="240" w:lineRule="auto"/>
        <w:ind w:firstLine="709"/>
        <w:jc w:val="both"/>
        <w:rPr>
          <w:rFonts w:ascii="Times New Roman" w:eastAsia="Times New Roman" w:hAnsi="Times New Roman" w:cs="Times New Roman"/>
          <w:color w:val="000000"/>
          <w:sz w:val="24"/>
          <w:szCs w:val="24"/>
          <w:lang w:val="ru-RU"/>
        </w:rPr>
      </w:pPr>
      <w:r w:rsidRPr="008B54FF">
        <w:rPr>
          <w:rFonts w:ascii="Times New Roman" w:eastAsia="Times New Roman" w:hAnsi="Times New Roman" w:cs="Times New Roman"/>
          <w:color w:val="000000"/>
          <w:sz w:val="24"/>
          <w:szCs w:val="24"/>
          <w:lang w:val="ru-RU"/>
        </w:rPr>
        <w:t>В этой связи целесообразно рассмотреть распределение населения региона по полу и месту проживания, что позволяет более детально оценить соотношение городской и сельской составляющих и выявить основные тенденции их изменения.</w:t>
      </w:r>
    </w:p>
    <w:p w:rsidR="003F5D83" w:rsidRDefault="003F5D83" w:rsidP="003F5D83">
      <w:pPr>
        <w:spacing w:after="0" w:line="240" w:lineRule="auto"/>
        <w:jc w:val="both"/>
        <w:rPr>
          <w:rFonts w:ascii="Times New Roman" w:eastAsia="Times New Roman" w:hAnsi="Times New Roman" w:cs="Times New Roman"/>
          <w:color w:val="000000"/>
          <w:sz w:val="24"/>
          <w:szCs w:val="24"/>
          <w:lang w:val="ru-RU"/>
        </w:rPr>
      </w:pPr>
    </w:p>
    <w:p w:rsidR="00346506" w:rsidRDefault="00346506" w:rsidP="003F5D83">
      <w:pPr>
        <w:spacing w:after="0" w:line="240" w:lineRule="auto"/>
        <w:jc w:val="both"/>
        <w:rPr>
          <w:rFonts w:ascii="Times New Roman" w:eastAsia="Times New Roman" w:hAnsi="Times New Roman" w:cs="Times New Roman"/>
          <w:color w:val="000000"/>
          <w:sz w:val="24"/>
          <w:szCs w:val="24"/>
          <w:lang w:val="ru-RU"/>
        </w:rPr>
      </w:pPr>
    </w:p>
    <w:p w:rsidR="00346506" w:rsidRDefault="00346506" w:rsidP="003F5D83">
      <w:pPr>
        <w:spacing w:after="0" w:line="240" w:lineRule="auto"/>
        <w:jc w:val="both"/>
        <w:rPr>
          <w:rFonts w:ascii="Times New Roman" w:eastAsia="Times New Roman" w:hAnsi="Times New Roman" w:cs="Times New Roman"/>
          <w:color w:val="000000"/>
          <w:sz w:val="24"/>
          <w:szCs w:val="24"/>
          <w:lang w:val="ru-RU"/>
        </w:rPr>
      </w:pPr>
    </w:p>
    <w:p w:rsidR="00346506" w:rsidRDefault="00346506" w:rsidP="003F5D83">
      <w:pPr>
        <w:spacing w:after="0" w:line="240" w:lineRule="auto"/>
        <w:jc w:val="both"/>
        <w:rPr>
          <w:rFonts w:ascii="Times New Roman" w:eastAsia="Times New Roman" w:hAnsi="Times New Roman" w:cs="Times New Roman"/>
          <w:color w:val="000000"/>
          <w:sz w:val="24"/>
          <w:szCs w:val="24"/>
          <w:lang w:val="ru-RU"/>
        </w:rPr>
      </w:pPr>
    </w:p>
    <w:p w:rsidR="00346506" w:rsidRDefault="00346506" w:rsidP="003F5D83">
      <w:pPr>
        <w:spacing w:after="0" w:line="240" w:lineRule="auto"/>
        <w:jc w:val="both"/>
        <w:rPr>
          <w:rFonts w:ascii="Times New Roman" w:eastAsia="Times New Roman" w:hAnsi="Times New Roman" w:cs="Times New Roman"/>
          <w:color w:val="000000"/>
          <w:sz w:val="24"/>
          <w:szCs w:val="24"/>
          <w:lang w:val="ru-RU"/>
        </w:rPr>
      </w:pPr>
    </w:p>
    <w:p w:rsidR="00346506" w:rsidRPr="0042339B" w:rsidRDefault="00346506" w:rsidP="003F5D83">
      <w:pPr>
        <w:spacing w:after="0" w:line="240" w:lineRule="auto"/>
        <w:jc w:val="both"/>
        <w:rPr>
          <w:rFonts w:ascii="Times New Roman" w:eastAsia="Times New Roman" w:hAnsi="Times New Roman" w:cs="Times New Roman"/>
          <w:color w:val="000000"/>
          <w:sz w:val="24"/>
          <w:szCs w:val="24"/>
          <w:lang w:val="ru-RU"/>
        </w:rPr>
      </w:pPr>
    </w:p>
    <w:p w:rsidR="003F5D83" w:rsidRDefault="003F5D83" w:rsidP="003F5D83">
      <w:pPr>
        <w:spacing w:after="0" w:line="240" w:lineRule="auto"/>
        <w:jc w:val="center"/>
        <w:rPr>
          <w:rFonts w:ascii="Times New Roman" w:eastAsia="Times New Roman" w:hAnsi="Times New Roman" w:cs="Times New Roman"/>
          <w:b/>
          <w:bCs/>
          <w:color w:val="000000"/>
          <w:sz w:val="24"/>
          <w:szCs w:val="24"/>
          <w:lang w:val="ru-RU"/>
        </w:rPr>
      </w:pPr>
      <w:r w:rsidRPr="00DD4D0F">
        <w:rPr>
          <w:rFonts w:ascii="Times New Roman" w:eastAsia="Times New Roman" w:hAnsi="Times New Roman" w:cs="Times New Roman"/>
          <w:b/>
          <w:bCs/>
          <w:color w:val="000000"/>
          <w:sz w:val="24"/>
          <w:szCs w:val="24"/>
          <w:lang w:val="ru-RU"/>
        </w:rPr>
        <w:lastRenderedPageBreak/>
        <w:t>Таблица</w:t>
      </w:r>
      <w:r>
        <w:rPr>
          <w:rFonts w:ascii="Times New Roman" w:eastAsia="Times New Roman" w:hAnsi="Times New Roman" w:cs="Times New Roman"/>
          <w:b/>
          <w:bCs/>
          <w:color w:val="000000"/>
          <w:sz w:val="24"/>
          <w:szCs w:val="24"/>
          <w:lang w:val="ru-RU"/>
        </w:rPr>
        <w:t xml:space="preserve"> 2.22.</w:t>
      </w:r>
      <w:r w:rsidRPr="00DD4D0F">
        <w:rPr>
          <w:rFonts w:ascii="Times New Roman" w:eastAsia="Times New Roman" w:hAnsi="Times New Roman" w:cs="Times New Roman"/>
          <w:b/>
          <w:bCs/>
          <w:color w:val="000000"/>
          <w:sz w:val="24"/>
          <w:szCs w:val="24"/>
          <w:lang w:val="ru-RU"/>
        </w:rPr>
        <w:t xml:space="preserve"> Распределение населения РР АТО Гагаузия по полу и месту проживания</w:t>
      </w:r>
      <w:r w:rsidR="00521AC7">
        <w:rPr>
          <w:rFonts w:ascii="Times New Roman" w:eastAsia="Times New Roman" w:hAnsi="Times New Roman" w:cs="Times New Roman"/>
          <w:b/>
          <w:bCs/>
          <w:color w:val="000000"/>
          <w:sz w:val="24"/>
          <w:szCs w:val="24"/>
          <w:lang w:val="ru-RU"/>
        </w:rPr>
        <w:t>, чел.</w:t>
      </w:r>
    </w:p>
    <w:p w:rsidR="00521AC7" w:rsidRPr="00DD4D0F" w:rsidRDefault="00521AC7" w:rsidP="003F5D83">
      <w:pPr>
        <w:spacing w:after="0" w:line="240" w:lineRule="auto"/>
        <w:jc w:val="center"/>
        <w:rPr>
          <w:rFonts w:ascii="Times New Roman" w:eastAsia="Times New Roman" w:hAnsi="Times New Roman" w:cs="Times New Roman"/>
          <w:b/>
          <w:bCs/>
          <w:color w:val="000000"/>
          <w:sz w:val="24"/>
          <w:szCs w:val="24"/>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10"/>
        <w:gridCol w:w="716"/>
        <w:gridCol w:w="810"/>
        <w:gridCol w:w="716"/>
        <w:gridCol w:w="810"/>
        <w:gridCol w:w="716"/>
        <w:gridCol w:w="810"/>
        <w:gridCol w:w="716"/>
        <w:gridCol w:w="810"/>
        <w:gridCol w:w="716"/>
      </w:tblGrid>
      <w:tr w:rsidR="003F5D83" w:rsidRPr="00DC4779" w:rsidTr="00521AC7">
        <w:trPr>
          <w:trHeight w:val="280"/>
        </w:trPr>
        <w:tc>
          <w:tcPr>
            <w:tcW w:w="0" w:type="auto"/>
            <w:vMerge w:val="restart"/>
            <w:hideMark/>
          </w:tcPr>
          <w:p w:rsidR="003F5D83" w:rsidRPr="00DC4779" w:rsidRDefault="003F5D83" w:rsidP="003F5D83">
            <w:pPr>
              <w:jc w:val="both"/>
              <w:rPr>
                <w:rFonts w:ascii="Times New Roman" w:eastAsia="Times New Roman" w:hAnsi="Times New Roman" w:cs="Times New Roman"/>
                <w:b/>
                <w:bCs/>
                <w:color w:val="000000"/>
                <w:lang w:val="ru-RU"/>
              </w:rPr>
            </w:pPr>
            <w:proofErr w:type="spellStart"/>
            <w:r w:rsidRPr="00DC4779">
              <w:rPr>
                <w:rFonts w:ascii="Times New Roman" w:eastAsia="Times New Roman" w:hAnsi="Times New Roman" w:cs="Times New Roman"/>
                <w:b/>
                <w:bCs/>
                <w:color w:val="000000"/>
              </w:rPr>
              <w:t>Пол</w:t>
            </w:r>
            <w:proofErr w:type="spellEnd"/>
            <w:r w:rsidRPr="00DC4779">
              <w:rPr>
                <w:rFonts w:ascii="Times New Roman" w:eastAsia="Times New Roman" w:hAnsi="Times New Roman" w:cs="Times New Roman"/>
                <w:b/>
                <w:bCs/>
                <w:color w:val="000000"/>
              </w:rPr>
              <w:t xml:space="preserve"> / </w:t>
            </w:r>
            <w:r>
              <w:rPr>
                <w:rFonts w:ascii="Times New Roman" w:eastAsia="Times New Roman" w:hAnsi="Times New Roman" w:cs="Times New Roman"/>
                <w:b/>
                <w:bCs/>
                <w:color w:val="000000"/>
                <w:lang w:val="ru-RU"/>
              </w:rPr>
              <w:t xml:space="preserve">проживание </w:t>
            </w:r>
          </w:p>
        </w:tc>
        <w:tc>
          <w:tcPr>
            <w:tcW w:w="0" w:type="auto"/>
            <w:gridSpan w:val="2"/>
            <w:hideMark/>
          </w:tcPr>
          <w:p w:rsidR="003F5D83" w:rsidRPr="003518D4"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2021</w:t>
            </w:r>
          </w:p>
        </w:tc>
        <w:tc>
          <w:tcPr>
            <w:tcW w:w="0" w:type="auto"/>
            <w:gridSpan w:val="2"/>
            <w:hideMark/>
          </w:tcPr>
          <w:p w:rsidR="003F5D83" w:rsidRPr="003518D4"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2022</w:t>
            </w:r>
          </w:p>
        </w:tc>
        <w:tc>
          <w:tcPr>
            <w:tcW w:w="0" w:type="auto"/>
            <w:gridSpan w:val="2"/>
            <w:hideMark/>
          </w:tcPr>
          <w:p w:rsidR="003F5D83" w:rsidRPr="003518D4"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2023</w:t>
            </w:r>
          </w:p>
        </w:tc>
        <w:tc>
          <w:tcPr>
            <w:tcW w:w="0" w:type="auto"/>
            <w:gridSpan w:val="2"/>
            <w:hideMark/>
          </w:tcPr>
          <w:p w:rsidR="003F5D83"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2024</w:t>
            </w:r>
          </w:p>
          <w:p w:rsidR="003F5D83" w:rsidRPr="003518D4" w:rsidRDefault="003F5D83" w:rsidP="003F5D83">
            <w:pPr>
              <w:jc w:val="center"/>
              <w:rPr>
                <w:rFonts w:ascii="Times New Roman" w:eastAsia="Times New Roman" w:hAnsi="Times New Roman" w:cs="Times New Roman"/>
                <w:b/>
                <w:bCs/>
                <w:color w:val="000000"/>
                <w:lang w:val="ru-RU"/>
              </w:rPr>
            </w:pPr>
          </w:p>
        </w:tc>
        <w:tc>
          <w:tcPr>
            <w:tcW w:w="1145" w:type="dxa"/>
            <w:gridSpan w:val="2"/>
            <w:hideMark/>
          </w:tcPr>
          <w:p w:rsidR="003F5D83" w:rsidRPr="003518D4" w:rsidRDefault="003F5D83" w:rsidP="003F5D83">
            <w:pPr>
              <w:jc w:val="center"/>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2025</w:t>
            </w:r>
          </w:p>
        </w:tc>
      </w:tr>
      <w:tr w:rsidR="003F5D83" w:rsidRPr="00DC4779" w:rsidTr="00521AC7">
        <w:trPr>
          <w:trHeight w:val="158"/>
        </w:trPr>
        <w:tc>
          <w:tcPr>
            <w:tcW w:w="0" w:type="auto"/>
            <w:vMerge/>
          </w:tcPr>
          <w:p w:rsidR="003F5D83" w:rsidRPr="00DC4779" w:rsidRDefault="003F5D83" w:rsidP="003F5D83">
            <w:pPr>
              <w:jc w:val="both"/>
              <w:rPr>
                <w:rFonts w:ascii="Times New Roman" w:eastAsia="Times New Roman" w:hAnsi="Times New Roman" w:cs="Times New Roman"/>
                <w:b/>
                <w:bCs/>
                <w:color w:val="000000"/>
              </w:rPr>
            </w:pPr>
          </w:p>
        </w:tc>
        <w:tc>
          <w:tcPr>
            <w:tcW w:w="0" w:type="auto"/>
          </w:tcPr>
          <w:p w:rsidR="003F5D83" w:rsidRPr="003518D4" w:rsidRDefault="003F5D83" w:rsidP="003F5D83">
            <w:pPr>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 xml:space="preserve">Город </w:t>
            </w:r>
          </w:p>
        </w:tc>
        <w:tc>
          <w:tcPr>
            <w:tcW w:w="0" w:type="auto"/>
          </w:tcPr>
          <w:p w:rsidR="003F5D83" w:rsidRPr="003518D4" w:rsidRDefault="003F5D83" w:rsidP="003F5D83">
            <w:pPr>
              <w:jc w:val="both"/>
              <w:rPr>
                <w:rFonts w:ascii="Times New Roman" w:eastAsia="Times New Roman" w:hAnsi="Times New Roman" w:cs="Times New Roman"/>
                <w:b/>
                <w:bCs/>
                <w:color w:val="000000"/>
                <w:lang w:val="ru-RU"/>
              </w:rPr>
            </w:pPr>
            <w:r>
              <w:rPr>
                <w:rFonts w:ascii="Times New Roman" w:eastAsia="Times New Roman" w:hAnsi="Times New Roman" w:cs="Times New Roman"/>
                <w:b/>
                <w:bCs/>
                <w:color w:val="000000"/>
                <w:lang w:val="ru-RU"/>
              </w:rPr>
              <w:t xml:space="preserve">Село </w:t>
            </w:r>
          </w:p>
        </w:tc>
        <w:tc>
          <w:tcPr>
            <w:tcW w:w="0" w:type="auto"/>
          </w:tcPr>
          <w:p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Город </w:t>
            </w:r>
          </w:p>
        </w:tc>
        <w:tc>
          <w:tcPr>
            <w:tcW w:w="0" w:type="auto"/>
          </w:tcPr>
          <w:p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Село </w:t>
            </w:r>
          </w:p>
        </w:tc>
        <w:tc>
          <w:tcPr>
            <w:tcW w:w="0" w:type="auto"/>
          </w:tcPr>
          <w:p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Город </w:t>
            </w:r>
          </w:p>
        </w:tc>
        <w:tc>
          <w:tcPr>
            <w:tcW w:w="0" w:type="auto"/>
          </w:tcPr>
          <w:p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Село </w:t>
            </w:r>
          </w:p>
        </w:tc>
        <w:tc>
          <w:tcPr>
            <w:tcW w:w="0" w:type="auto"/>
          </w:tcPr>
          <w:p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Город </w:t>
            </w:r>
          </w:p>
        </w:tc>
        <w:tc>
          <w:tcPr>
            <w:tcW w:w="0" w:type="auto"/>
          </w:tcPr>
          <w:p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Село </w:t>
            </w:r>
          </w:p>
        </w:tc>
        <w:tc>
          <w:tcPr>
            <w:tcW w:w="0" w:type="auto"/>
          </w:tcPr>
          <w:p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Город </w:t>
            </w:r>
          </w:p>
        </w:tc>
        <w:tc>
          <w:tcPr>
            <w:tcW w:w="329" w:type="dxa"/>
          </w:tcPr>
          <w:p w:rsidR="003F5D83" w:rsidRPr="00DC4779" w:rsidRDefault="003F5D83" w:rsidP="003F5D83">
            <w:pPr>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lang w:val="ru-RU"/>
              </w:rPr>
              <w:t xml:space="preserve">Село </w:t>
            </w:r>
          </w:p>
        </w:tc>
      </w:tr>
      <w:tr w:rsidR="003F5D83" w:rsidRPr="00DC4779" w:rsidTr="00521AC7">
        <w:trPr>
          <w:trHeight w:val="280"/>
        </w:trPr>
        <w:tc>
          <w:tcPr>
            <w:tcW w:w="0" w:type="auto"/>
            <w:hideMark/>
          </w:tcPr>
          <w:p w:rsidR="003F5D83" w:rsidRPr="00DC4779" w:rsidRDefault="003F5D83" w:rsidP="00BD6565">
            <w:pPr>
              <w:spacing w:after="0"/>
              <w:jc w:val="both"/>
              <w:rPr>
                <w:rFonts w:ascii="Times New Roman" w:eastAsia="Times New Roman" w:hAnsi="Times New Roman" w:cs="Times New Roman"/>
                <w:color w:val="000000"/>
              </w:rPr>
            </w:pPr>
            <w:proofErr w:type="spellStart"/>
            <w:r w:rsidRPr="00DC4779">
              <w:rPr>
                <w:rFonts w:ascii="Times New Roman" w:eastAsia="Times New Roman" w:hAnsi="Times New Roman" w:cs="Times New Roman"/>
                <w:b/>
                <w:bCs/>
                <w:color w:val="000000"/>
              </w:rPr>
              <w:t>Мужчины</w:t>
            </w:r>
            <w:proofErr w:type="spellEnd"/>
            <w:r w:rsidRPr="00DC4779">
              <w:rPr>
                <w:rFonts w:ascii="Times New Roman" w:eastAsia="Times New Roman" w:hAnsi="Times New Roman" w:cs="Times New Roman"/>
                <w:b/>
                <w:bCs/>
                <w:color w:val="000000"/>
              </w:rPr>
              <w:t xml:space="preserve"> (</w:t>
            </w:r>
            <w:proofErr w:type="spellStart"/>
            <w:r w:rsidRPr="00DC4779">
              <w:rPr>
                <w:rFonts w:ascii="Times New Roman" w:eastAsia="Times New Roman" w:hAnsi="Times New Roman" w:cs="Times New Roman"/>
                <w:b/>
                <w:bCs/>
                <w:color w:val="000000"/>
              </w:rPr>
              <w:t>чел</w:t>
            </w:r>
            <w:proofErr w:type="spellEnd"/>
            <w:r w:rsidRPr="00DC4779">
              <w:rPr>
                <w:rFonts w:ascii="Times New Roman" w:eastAsia="Times New Roman" w:hAnsi="Times New Roman" w:cs="Times New Roman"/>
                <w:b/>
                <w:bCs/>
                <w:color w:val="000000"/>
              </w:rPr>
              <w:t>.)</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23287</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35508</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22743</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34354</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22099</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33246</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21589</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32194</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21217</w:t>
            </w:r>
          </w:p>
        </w:tc>
        <w:tc>
          <w:tcPr>
            <w:tcW w:w="329" w:type="dxa"/>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31399</w:t>
            </w:r>
          </w:p>
        </w:tc>
      </w:tr>
      <w:tr w:rsidR="003F5D83" w:rsidRPr="00DC4779" w:rsidTr="00521AC7">
        <w:trPr>
          <w:trHeight w:val="270"/>
        </w:trPr>
        <w:tc>
          <w:tcPr>
            <w:tcW w:w="0" w:type="auto"/>
            <w:hideMark/>
          </w:tcPr>
          <w:p w:rsidR="003F5D83" w:rsidRPr="00DC4779" w:rsidRDefault="003F5D83" w:rsidP="00BD6565">
            <w:pPr>
              <w:spacing w:after="0"/>
              <w:jc w:val="both"/>
              <w:rPr>
                <w:rFonts w:ascii="Times New Roman" w:eastAsia="Times New Roman" w:hAnsi="Times New Roman" w:cs="Times New Roman"/>
                <w:color w:val="000000"/>
              </w:rPr>
            </w:pPr>
            <w:proofErr w:type="spellStart"/>
            <w:r w:rsidRPr="00DC4779">
              <w:rPr>
                <w:rFonts w:ascii="Times New Roman" w:eastAsia="Times New Roman" w:hAnsi="Times New Roman" w:cs="Times New Roman"/>
                <w:b/>
                <w:bCs/>
                <w:color w:val="000000"/>
              </w:rPr>
              <w:t>Удельный</w:t>
            </w:r>
            <w:proofErr w:type="spellEnd"/>
            <w:r w:rsidRPr="00DC4779">
              <w:rPr>
                <w:rFonts w:ascii="Times New Roman" w:eastAsia="Times New Roman" w:hAnsi="Times New Roman" w:cs="Times New Roman"/>
                <w:b/>
                <w:bCs/>
                <w:color w:val="000000"/>
              </w:rPr>
              <w:t xml:space="preserve"> </w:t>
            </w:r>
            <w:proofErr w:type="spellStart"/>
            <w:r w:rsidRPr="00DC4779">
              <w:rPr>
                <w:rFonts w:ascii="Times New Roman" w:eastAsia="Times New Roman" w:hAnsi="Times New Roman" w:cs="Times New Roman"/>
                <w:b/>
                <w:bCs/>
                <w:color w:val="000000"/>
              </w:rPr>
              <w:t>вес</w:t>
            </w:r>
            <w:proofErr w:type="spellEnd"/>
            <w:r w:rsidRPr="00DC4779">
              <w:rPr>
                <w:rFonts w:ascii="Times New Roman" w:eastAsia="Times New Roman" w:hAnsi="Times New Roman" w:cs="Times New Roman"/>
                <w:b/>
                <w:bCs/>
                <w:color w:val="000000"/>
              </w:rPr>
              <w:t xml:space="preserve"> (%)</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39,6</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60,4</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39,8</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60,2</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39,9</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60,1</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40,1</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59,9</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40,3</w:t>
            </w:r>
          </w:p>
        </w:tc>
        <w:tc>
          <w:tcPr>
            <w:tcW w:w="329" w:type="dxa"/>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59,7</w:t>
            </w:r>
          </w:p>
        </w:tc>
      </w:tr>
      <w:tr w:rsidR="003F5D83" w:rsidRPr="00DC4779" w:rsidTr="00521AC7">
        <w:trPr>
          <w:trHeight w:val="280"/>
        </w:trPr>
        <w:tc>
          <w:tcPr>
            <w:tcW w:w="0" w:type="auto"/>
            <w:hideMark/>
          </w:tcPr>
          <w:p w:rsidR="003F5D83" w:rsidRPr="00DC4779" w:rsidRDefault="003F5D83" w:rsidP="00BD6565">
            <w:pPr>
              <w:spacing w:after="0"/>
              <w:jc w:val="both"/>
              <w:rPr>
                <w:rFonts w:ascii="Times New Roman" w:eastAsia="Times New Roman" w:hAnsi="Times New Roman" w:cs="Times New Roman"/>
                <w:color w:val="000000"/>
              </w:rPr>
            </w:pPr>
            <w:proofErr w:type="spellStart"/>
            <w:r w:rsidRPr="00DC4779">
              <w:rPr>
                <w:rFonts w:ascii="Times New Roman" w:eastAsia="Times New Roman" w:hAnsi="Times New Roman" w:cs="Times New Roman"/>
                <w:b/>
                <w:bCs/>
                <w:color w:val="000000"/>
              </w:rPr>
              <w:t>Женщины</w:t>
            </w:r>
            <w:proofErr w:type="spellEnd"/>
            <w:r w:rsidRPr="00DC4779">
              <w:rPr>
                <w:rFonts w:ascii="Times New Roman" w:eastAsia="Times New Roman" w:hAnsi="Times New Roman" w:cs="Times New Roman"/>
                <w:b/>
                <w:bCs/>
                <w:color w:val="000000"/>
              </w:rPr>
              <w:t xml:space="preserve"> (</w:t>
            </w:r>
            <w:proofErr w:type="spellStart"/>
            <w:r w:rsidRPr="00DC4779">
              <w:rPr>
                <w:rFonts w:ascii="Times New Roman" w:eastAsia="Times New Roman" w:hAnsi="Times New Roman" w:cs="Times New Roman"/>
                <w:b/>
                <w:bCs/>
                <w:color w:val="000000"/>
              </w:rPr>
              <w:t>чел</w:t>
            </w:r>
            <w:proofErr w:type="spellEnd"/>
            <w:r w:rsidRPr="00DC4779">
              <w:rPr>
                <w:rFonts w:ascii="Times New Roman" w:eastAsia="Times New Roman" w:hAnsi="Times New Roman" w:cs="Times New Roman"/>
                <w:b/>
                <w:bCs/>
                <w:color w:val="000000"/>
              </w:rPr>
              <w:t>.)</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26259</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37256</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26052</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36477</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25996</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35910</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25995</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35418</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25542</w:t>
            </w:r>
          </w:p>
        </w:tc>
        <w:tc>
          <w:tcPr>
            <w:tcW w:w="329" w:type="dxa"/>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34825</w:t>
            </w:r>
          </w:p>
        </w:tc>
      </w:tr>
      <w:tr w:rsidR="003F5D83" w:rsidRPr="00DC4779" w:rsidTr="00521AC7">
        <w:trPr>
          <w:trHeight w:val="280"/>
        </w:trPr>
        <w:tc>
          <w:tcPr>
            <w:tcW w:w="0" w:type="auto"/>
            <w:hideMark/>
          </w:tcPr>
          <w:p w:rsidR="003F5D83" w:rsidRPr="00DC4779" w:rsidRDefault="003F5D83" w:rsidP="00BD6565">
            <w:pPr>
              <w:spacing w:after="0"/>
              <w:jc w:val="both"/>
              <w:rPr>
                <w:rFonts w:ascii="Times New Roman" w:eastAsia="Times New Roman" w:hAnsi="Times New Roman" w:cs="Times New Roman"/>
                <w:color w:val="000000"/>
              </w:rPr>
            </w:pPr>
            <w:proofErr w:type="spellStart"/>
            <w:r w:rsidRPr="00DC4779">
              <w:rPr>
                <w:rFonts w:ascii="Times New Roman" w:eastAsia="Times New Roman" w:hAnsi="Times New Roman" w:cs="Times New Roman"/>
                <w:b/>
                <w:bCs/>
                <w:color w:val="000000"/>
              </w:rPr>
              <w:t>Удельный</w:t>
            </w:r>
            <w:proofErr w:type="spellEnd"/>
            <w:r w:rsidRPr="00DC4779">
              <w:rPr>
                <w:rFonts w:ascii="Times New Roman" w:eastAsia="Times New Roman" w:hAnsi="Times New Roman" w:cs="Times New Roman"/>
                <w:b/>
                <w:bCs/>
                <w:color w:val="000000"/>
              </w:rPr>
              <w:t xml:space="preserve"> </w:t>
            </w:r>
            <w:proofErr w:type="spellStart"/>
            <w:r w:rsidRPr="00DC4779">
              <w:rPr>
                <w:rFonts w:ascii="Times New Roman" w:eastAsia="Times New Roman" w:hAnsi="Times New Roman" w:cs="Times New Roman"/>
                <w:b/>
                <w:bCs/>
                <w:color w:val="000000"/>
              </w:rPr>
              <w:t>вес</w:t>
            </w:r>
            <w:proofErr w:type="spellEnd"/>
            <w:r w:rsidRPr="00DC4779">
              <w:rPr>
                <w:rFonts w:ascii="Times New Roman" w:eastAsia="Times New Roman" w:hAnsi="Times New Roman" w:cs="Times New Roman"/>
                <w:b/>
                <w:bCs/>
                <w:color w:val="000000"/>
              </w:rPr>
              <w:t xml:space="preserve"> (%)</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41,3</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58,7</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41,7</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58,3</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42,0</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58,0</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42,3</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57,7</w:t>
            </w:r>
          </w:p>
        </w:tc>
        <w:tc>
          <w:tcPr>
            <w:tcW w:w="0" w:type="auto"/>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42,3</w:t>
            </w:r>
          </w:p>
        </w:tc>
        <w:tc>
          <w:tcPr>
            <w:tcW w:w="329" w:type="dxa"/>
            <w:vAlign w:val="center"/>
            <w:hideMark/>
          </w:tcPr>
          <w:p w:rsidR="003F5D83" w:rsidRPr="00DC4779" w:rsidRDefault="003F5D83" w:rsidP="00BD6565">
            <w:pPr>
              <w:spacing w:after="0"/>
              <w:jc w:val="right"/>
              <w:rPr>
                <w:rFonts w:ascii="Times New Roman" w:eastAsia="Times New Roman" w:hAnsi="Times New Roman" w:cs="Times New Roman"/>
                <w:color w:val="000000"/>
                <w:sz w:val="20"/>
                <w:szCs w:val="20"/>
              </w:rPr>
            </w:pPr>
            <w:r w:rsidRPr="00DC4779">
              <w:rPr>
                <w:rFonts w:ascii="Times New Roman" w:eastAsia="Times New Roman" w:hAnsi="Times New Roman" w:cs="Times New Roman"/>
                <w:color w:val="000000"/>
                <w:sz w:val="20"/>
                <w:szCs w:val="20"/>
              </w:rPr>
              <w:t>57,7</w:t>
            </w:r>
          </w:p>
        </w:tc>
      </w:tr>
    </w:tbl>
    <w:p w:rsidR="003F5D83" w:rsidRPr="001C52D4" w:rsidRDefault="003F5D83" w:rsidP="003F5D83">
      <w:pPr>
        <w:spacing w:after="0" w:line="240" w:lineRule="auto"/>
        <w:ind w:right="403"/>
        <w:jc w:val="both"/>
        <w:rPr>
          <w:rStyle w:val="af0"/>
          <w:rFonts w:ascii="Times New Roman" w:hAnsi="Times New Roman" w:cs="Times New Roman"/>
          <w:i/>
          <w:iCs/>
          <w:sz w:val="16"/>
          <w:szCs w:val="16"/>
        </w:rPr>
      </w:pPr>
      <w:proofErr w:type="spellStart"/>
      <w:r w:rsidRPr="001C52D4">
        <w:rPr>
          <w:rFonts w:ascii="Times New Roman" w:hAnsi="Times New Roman" w:cs="Times New Roman"/>
          <w:i/>
          <w:iCs/>
          <w:sz w:val="16"/>
          <w:szCs w:val="16"/>
        </w:rPr>
        <w:t>Источник</w:t>
      </w:r>
      <w:proofErr w:type="spellEnd"/>
      <w:r w:rsidRPr="001C52D4">
        <w:rPr>
          <w:rFonts w:ascii="Times New Roman" w:hAnsi="Times New Roman" w:cs="Times New Roman"/>
          <w:i/>
          <w:iCs/>
          <w:sz w:val="16"/>
          <w:szCs w:val="16"/>
        </w:rPr>
        <w:t xml:space="preserve">: Banca de date </w:t>
      </w:r>
      <w:proofErr w:type="spellStart"/>
      <w:r w:rsidRPr="001C52D4">
        <w:rPr>
          <w:rFonts w:ascii="Times New Roman" w:hAnsi="Times New Roman" w:cs="Times New Roman"/>
          <w:i/>
          <w:iCs/>
          <w:sz w:val="16"/>
          <w:szCs w:val="16"/>
        </w:rPr>
        <w:t>statistică</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StatBank</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Populația</w:t>
      </w:r>
      <w:proofErr w:type="spellEnd"/>
      <w:r w:rsidRPr="001C52D4">
        <w:rPr>
          <w:rFonts w:ascii="Times New Roman" w:hAnsi="Times New Roman" w:cs="Times New Roman"/>
          <w:i/>
          <w:iCs/>
          <w:sz w:val="16"/>
          <w:szCs w:val="16"/>
        </w:rPr>
        <w:t xml:space="preserve"> cu </w:t>
      </w:r>
      <w:proofErr w:type="spellStart"/>
      <w:r w:rsidRPr="001C52D4">
        <w:rPr>
          <w:rFonts w:ascii="Times New Roman" w:hAnsi="Times New Roman" w:cs="Times New Roman"/>
          <w:i/>
          <w:iCs/>
          <w:sz w:val="16"/>
          <w:szCs w:val="16"/>
        </w:rPr>
        <w:t>reședință</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obișnuită</w:t>
      </w:r>
      <w:proofErr w:type="spellEnd"/>
      <w:r w:rsidRPr="001C52D4">
        <w:rPr>
          <w:rFonts w:ascii="Times New Roman" w:hAnsi="Times New Roman" w:cs="Times New Roman"/>
          <w:i/>
          <w:iCs/>
          <w:sz w:val="16"/>
          <w:szCs w:val="16"/>
        </w:rPr>
        <w:t xml:space="preserve"> pe </w:t>
      </w:r>
      <w:proofErr w:type="spellStart"/>
      <w:r w:rsidRPr="001C52D4">
        <w:rPr>
          <w:rFonts w:ascii="Times New Roman" w:hAnsi="Times New Roman" w:cs="Times New Roman"/>
          <w:i/>
          <w:iCs/>
          <w:sz w:val="16"/>
          <w:szCs w:val="16"/>
        </w:rPr>
        <w:t>regiuni</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raioane</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grupe</w:t>
      </w:r>
      <w:proofErr w:type="spellEnd"/>
      <w:r w:rsidRPr="001C52D4">
        <w:rPr>
          <w:rFonts w:ascii="Times New Roman" w:hAnsi="Times New Roman" w:cs="Times New Roman"/>
          <w:i/>
          <w:iCs/>
          <w:sz w:val="16"/>
          <w:szCs w:val="16"/>
        </w:rPr>
        <w:t xml:space="preserve"> de </w:t>
      </w:r>
      <w:proofErr w:type="spellStart"/>
      <w:r w:rsidRPr="001C52D4">
        <w:rPr>
          <w:rFonts w:ascii="Times New Roman" w:hAnsi="Times New Roman" w:cs="Times New Roman"/>
          <w:i/>
          <w:iCs/>
          <w:sz w:val="16"/>
          <w:szCs w:val="16"/>
        </w:rPr>
        <w:t>vârstă</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medii</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și</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sexe</w:t>
      </w:r>
      <w:proofErr w:type="spellEnd"/>
      <w:r w:rsidRPr="001C52D4">
        <w:rPr>
          <w:rFonts w:ascii="Times New Roman" w:hAnsi="Times New Roman" w:cs="Times New Roman"/>
          <w:i/>
          <w:iCs/>
          <w:sz w:val="16"/>
          <w:szCs w:val="16"/>
        </w:rPr>
        <w:t xml:space="preserve">, la </w:t>
      </w:r>
      <w:proofErr w:type="spellStart"/>
      <w:r w:rsidRPr="001C52D4">
        <w:rPr>
          <w:rFonts w:ascii="Times New Roman" w:hAnsi="Times New Roman" w:cs="Times New Roman"/>
          <w:i/>
          <w:iCs/>
          <w:sz w:val="16"/>
          <w:szCs w:val="16"/>
        </w:rPr>
        <w:t>începutul</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anului</w:t>
      </w:r>
      <w:proofErr w:type="spellEnd"/>
      <w:r w:rsidRPr="001C52D4">
        <w:rPr>
          <w:rFonts w:ascii="Times New Roman" w:hAnsi="Times New Roman" w:cs="Times New Roman"/>
          <w:i/>
          <w:iCs/>
          <w:sz w:val="16"/>
          <w:szCs w:val="16"/>
        </w:rPr>
        <w:t>, 2014–2025 [</w:t>
      </w:r>
      <w:proofErr w:type="spellStart"/>
      <w:r w:rsidRPr="001C52D4">
        <w:rPr>
          <w:rFonts w:ascii="Times New Roman" w:hAnsi="Times New Roman" w:cs="Times New Roman"/>
          <w:i/>
          <w:iCs/>
          <w:sz w:val="16"/>
          <w:szCs w:val="16"/>
        </w:rPr>
        <w:t>resursă</w:t>
      </w:r>
      <w:proofErr w:type="spellEnd"/>
      <w:r w:rsidRPr="001C52D4">
        <w:rPr>
          <w:rFonts w:ascii="Times New Roman" w:hAnsi="Times New Roman" w:cs="Times New Roman"/>
          <w:i/>
          <w:iCs/>
          <w:sz w:val="16"/>
          <w:szCs w:val="16"/>
        </w:rPr>
        <w:t xml:space="preserve"> </w:t>
      </w:r>
      <w:proofErr w:type="spellStart"/>
      <w:r w:rsidRPr="001C52D4">
        <w:rPr>
          <w:rFonts w:ascii="Times New Roman" w:hAnsi="Times New Roman" w:cs="Times New Roman"/>
          <w:i/>
          <w:iCs/>
          <w:sz w:val="16"/>
          <w:szCs w:val="16"/>
        </w:rPr>
        <w:t>electronică</w:t>
      </w:r>
      <w:proofErr w:type="spellEnd"/>
      <w:r w:rsidRPr="001C52D4">
        <w:rPr>
          <w:rFonts w:ascii="Times New Roman" w:hAnsi="Times New Roman" w:cs="Times New Roman"/>
          <w:i/>
          <w:iCs/>
          <w:sz w:val="16"/>
          <w:szCs w:val="16"/>
        </w:rPr>
        <w:t xml:space="preserve">]. – </w:t>
      </w:r>
      <w:proofErr w:type="spellStart"/>
      <w:r w:rsidRPr="001C52D4">
        <w:rPr>
          <w:rFonts w:ascii="Times New Roman" w:hAnsi="Times New Roman" w:cs="Times New Roman"/>
          <w:i/>
          <w:iCs/>
          <w:sz w:val="16"/>
          <w:szCs w:val="16"/>
        </w:rPr>
        <w:t>Disponibil</w:t>
      </w:r>
      <w:proofErr w:type="spellEnd"/>
      <w:r w:rsidRPr="001C52D4">
        <w:rPr>
          <w:rFonts w:ascii="Times New Roman" w:hAnsi="Times New Roman" w:cs="Times New Roman"/>
          <w:i/>
          <w:iCs/>
          <w:sz w:val="16"/>
          <w:szCs w:val="16"/>
        </w:rPr>
        <w:t xml:space="preserve">: </w:t>
      </w:r>
      <w:hyperlink r:id="rId47" w:tgtFrame="_new" w:history="1">
        <w:proofErr w:type="spellStart"/>
        <w:r w:rsidRPr="001C52D4">
          <w:rPr>
            <w:rStyle w:val="af0"/>
            <w:rFonts w:ascii="Times New Roman" w:hAnsi="Times New Roman" w:cs="Times New Roman"/>
            <w:i/>
            <w:iCs/>
            <w:sz w:val="16"/>
            <w:szCs w:val="16"/>
          </w:rPr>
          <w:t>StatBank</w:t>
        </w:r>
        <w:proofErr w:type="spellEnd"/>
        <w:r w:rsidRPr="001C52D4">
          <w:rPr>
            <w:rStyle w:val="af0"/>
            <w:rFonts w:ascii="Times New Roman" w:hAnsi="Times New Roman" w:cs="Times New Roman"/>
            <w:i/>
            <w:iCs/>
            <w:sz w:val="16"/>
            <w:szCs w:val="16"/>
          </w:rPr>
          <w:t xml:space="preserve"> </w:t>
        </w:r>
        <w:proofErr w:type="spellStart"/>
        <w:r w:rsidRPr="001C52D4">
          <w:rPr>
            <w:rStyle w:val="af0"/>
            <w:rFonts w:ascii="Times New Roman" w:hAnsi="Times New Roman" w:cs="Times New Roman"/>
            <w:i/>
            <w:iCs/>
            <w:sz w:val="16"/>
            <w:szCs w:val="16"/>
          </w:rPr>
          <w:t>tabel</w:t>
        </w:r>
        <w:proofErr w:type="spellEnd"/>
      </w:hyperlink>
    </w:p>
    <w:p w:rsidR="003F5D83" w:rsidRPr="00041312" w:rsidRDefault="003F5D83" w:rsidP="003F5D83">
      <w:pPr>
        <w:spacing w:after="0" w:line="240" w:lineRule="auto"/>
        <w:jc w:val="both"/>
        <w:rPr>
          <w:rFonts w:ascii="Times New Roman" w:eastAsia="Times New Roman" w:hAnsi="Times New Roman" w:cs="Times New Roman"/>
          <w:color w:val="000000"/>
        </w:rPr>
      </w:pPr>
    </w:p>
    <w:p w:rsidR="003F5D83" w:rsidRPr="00DD4D0F" w:rsidRDefault="003F5D83" w:rsidP="003F5D83">
      <w:pPr>
        <w:spacing w:after="0" w:line="240" w:lineRule="auto"/>
        <w:ind w:firstLine="709"/>
        <w:jc w:val="both"/>
        <w:rPr>
          <w:rFonts w:ascii="Times New Roman" w:hAnsi="Times New Roman" w:cs="Times New Roman"/>
          <w:sz w:val="24"/>
          <w:szCs w:val="24"/>
          <w:lang w:val="ru-RU"/>
        </w:rPr>
      </w:pPr>
      <w:r w:rsidRPr="00DD4D0F">
        <w:rPr>
          <w:rFonts w:ascii="Times New Roman" w:hAnsi="Times New Roman" w:cs="Times New Roman"/>
          <w:sz w:val="24"/>
          <w:szCs w:val="24"/>
          <w:lang w:val="ru-RU"/>
        </w:rPr>
        <w:t>В 2021–2025 гг. в АТО Гагаузия сохраняется устойчивая структура расселения населения с преобладанием жителей сельской местности. Доля сельского населения на протяжении всего периода превышает 57% как среди мужчин, так и среди женщин.</w:t>
      </w:r>
    </w:p>
    <w:p w:rsidR="003F5D83" w:rsidRPr="00DD4D0F" w:rsidRDefault="003F5D83" w:rsidP="003F5D83">
      <w:pPr>
        <w:spacing w:after="0" w:line="240" w:lineRule="auto"/>
        <w:ind w:firstLine="709"/>
        <w:jc w:val="both"/>
        <w:rPr>
          <w:rFonts w:ascii="Times New Roman" w:eastAsia="Times New Roman" w:hAnsi="Times New Roman" w:cs="Times New Roman"/>
          <w:sz w:val="24"/>
          <w:szCs w:val="24"/>
          <w:lang w:val="ru-RU"/>
        </w:rPr>
      </w:pPr>
      <w:r w:rsidRPr="00DD4D0F">
        <w:rPr>
          <w:rFonts w:ascii="Times New Roman" w:eastAsia="Times New Roman" w:hAnsi="Times New Roman" w:cs="Times New Roman"/>
          <w:sz w:val="24"/>
          <w:szCs w:val="24"/>
          <w:lang w:val="ru-RU"/>
        </w:rPr>
        <w:t>При этом наблюдаются незначительные структурные изменения: доля городского населения постепенно увеличивается. Так, доля мужчин, проживающих в городе, выросла с 39,6% в 2021 году до 40,3% в 2025 году (с 23,3 тыс. до 21,2 тыс. человек), а доля женщин — с 41,3% до 42,3% (с 26,3 тыс. до 25,5 тыс. человек). Несмотря на рост удельного веса городского населения, его численность в абсолютном выражении сокращается, что связано с общей демографической убылью населения.</w:t>
      </w:r>
    </w:p>
    <w:p w:rsidR="003F5D83" w:rsidRDefault="003F5D83" w:rsidP="003F5D83">
      <w:pPr>
        <w:spacing w:after="0" w:line="240" w:lineRule="auto"/>
        <w:ind w:firstLine="709"/>
        <w:jc w:val="both"/>
        <w:rPr>
          <w:rFonts w:ascii="Times New Roman" w:eastAsia="Times New Roman" w:hAnsi="Times New Roman" w:cs="Times New Roman"/>
          <w:sz w:val="24"/>
          <w:szCs w:val="24"/>
          <w:lang w:val="ru-RU"/>
        </w:rPr>
      </w:pPr>
      <w:r w:rsidRPr="00DD4D0F">
        <w:rPr>
          <w:rFonts w:ascii="Times New Roman" w:eastAsia="Times New Roman" w:hAnsi="Times New Roman" w:cs="Times New Roman"/>
          <w:sz w:val="24"/>
          <w:szCs w:val="24"/>
          <w:lang w:val="ru-RU"/>
        </w:rPr>
        <w:t>Кроме того, на протяжении всего анализируемого периода численность женщин превышает численность мужчин. Так, в 2025 году численность женщин составила 60,4 тыс. человек, или 53,4% от общей численности населения, тогда как мужчин — 52,6 тыс. человек, или 46,6%. По сравнению с 2021 годом доля женщин увеличилась с 52,3% до 53,4%.</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Различия в уровне доходов населения и демографическая нагрузка оказывают существенное влияние на миграционное поведение населения. Ограниченные экономические возможности, особенно в регионах с более низким уровнем заработной платы, могут способствовать оттоку населения в более развитые территории.</w:t>
      </w: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BD6565" w:rsidRDefault="00BD6565"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226936">
        <w:rPr>
          <w:rFonts w:ascii="Times New Roman" w:hAnsi="Times New Roman" w:cs="Times New Roman"/>
          <w:b/>
          <w:bCs/>
          <w:kern w:val="2"/>
          <w:sz w:val="24"/>
          <w:szCs w:val="24"/>
          <w:lang w:val="ru-RU"/>
          <w14:ligatures w14:val="standardContextual"/>
        </w:rPr>
        <w:t>Таблица</w:t>
      </w:r>
      <w:r>
        <w:rPr>
          <w:rFonts w:ascii="Times New Roman" w:hAnsi="Times New Roman" w:cs="Times New Roman"/>
          <w:b/>
          <w:bCs/>
          <w:kern w:val="2"/>
          <w:sz w:val="24"/>
          <w:szCs w:val="24"/>
          <w:lang w:val="ru-RU"/>
          <w14:ligatures w14:val="standardContextual"/>
        </w:rPr>
        <w:t xml:space="preserve"> 2.23. </w:t>
      </w:r>
      <w:r w:rsidRPr="00226936">
        <w:rPr>
          <w:rFonts w:ascii="Times New Roman" w:hAnsi="Times New Roman" w:cs="Times New Roman"/>
          <w:b/>
          <w:bCs/>
          <w:kern w:val="2"/>
          <w:sz w:val="24"/>
          <w:szCs w:val="24"/>
          <w:lang w:val="ru-RU"/>
          <w14:ligatures w14:val="standardContextual"/>
        </w:rPr>
        <w:t>Динамика внутренней миграции населения по регионам развития Республики Молдова, чел.</w:t>
      </w:r>
    </w:p>
    <w:p w:rsidR="00521AC7" w:rsidRPr="00226936" w:rsidRDefault="00521AC7" w:rsidP="003F5D83">
      <w:pPr>
        <w:spacing w:after="0" w:line="240" w:lineRule="auto"/>
        <w:jc w:val="center"/>
        <w:rPr>
          <w:rFonts w:ascii="Times New Roman" w:hAnsi="Times New Roman" w:cs="Times New Roman"/>
          <w:b/>
          <w:bCs/>
          <w:kern w:val="2"/>
          <w:sz w:val="24"/>
          <w:szCs w:val="24"/>
          <w:lang w:val="ru-RU"/>
          <w14:ligatures w14:val="standardContextual"/>
        </w:rPr>
      </w:pP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52"/>
        <w:gridCol w:w="785"/>
        <w:gridCol w:w="852"/>
        <w:gridCol w:w="785"/>
        <w:gridCol w:w="852"/>
        <w:gridCol w:w="785"/>
        <w:gridCol w:w="852"/>
        <w:gridCol w:w="785"/>
        <w:gridCol w:w="852"/>
        <w:gridCol w:w="785"/>
      </w:tblGrid>
      <w:tr w:rsidR="003F5D83" w:rsidRPr="00226936" w:rsidTr="00521AC7">
        <w:trPr>
          <w:trHeight w:val="1009"/>
        </w:trPr>
        <w:tc>
          <w:tcPr>
            <w:tcW w:w="0" w:type="auto"/>
            <w:vMerge w:val="restart"/>
            <w:hideMark/>
          </w:tcPr>
          <w:p w:rsidR="003F5D83" w:rsidRPr="00226936" w:rsidRDefault="003F5D83" w:rsidP="00BD6565">
            <w:pPr>
              <w:spacing w:after="0" w:line="276" w:lineRule="auto"/>
              <w:rPr>
                <w:rFonts w:ascii="Times New Roman" w:hAnsi="Times New Roman" w:cs="Times New Roman"/>
                <w:b/>
                <w:bCs/>
                <w:kern w:val="2"/>
                <w14:ligatures w14:val="standardContextual"/>
              </w:rPr>
            </w:pPr>
            <w:proofErr w:type="spellStart"/>
            <w:r w:rsidRPr="00226936">
              <w:rPr>
                <w:rFonts w:ascii="Times New Roman" w:hAnsi="Times New Roman" w:cs="Times New Roman"/>
                <w:b/>
                <w:bCs/>
                <w:kern w:val="2"/>
                <w14:ligatures w14:val="standardContextual"/>
              </w:rPr>
              <w:t>Регион</w:t>
            </w:r>
            <w:proofErr w:type="spellEnd"/>
          </w:p>
        </w:tc>
        <w:tc>
          <w:tcPr>
            <w:tcW w:w="0" w:type="auto"/>
            <w:gridSpan w:val="2"/>
            <w:hideMark/>
          </w:tcPr>
          <w:p w:rsidR="003F5D83" w:rsidRPr="00226936" w:rsidRDefault="003F5D83" w:rsidP="00BD6565">
            <w:pPr>
              <w:spacing w:after="0" w:line="276" w:lineRule="auto"/>
              <w:jc w:val="center"/>
              <w:rPr>
                <w:rFonts w:ascii="Times New Roman" w:hAnsi="Times New Roman" w:cs="Times New Roman"/>
                <w:b/>
                <w:bCs/>
                <w:kern w:val="2"/>
                <w:lang w:val="ru-RU"/>
                <w14:ligatures w14:val="standardContextual"/>
              </w:rPr>
            </w:pPr>
            <w:r w:rsidRPr="00226936">
              <w:rPr>
                <w:rFonts w:ascii="Times New Roman" w:hAnsi="Times New Roman" w:cs="Times New Roman"/>
                <w:b/>
                <w:bCs/>
                <w:kern w:val="2"/>
                <w14:ligatures w14:val="standardContextual"/>
              </w:rPr>
              <w:t>2019</w:t>
            </w:r>
          </w:p>
        </w:tc>
        <w:tc>
          <w:tcPr>
            <w:tcW w:w="0" w:type="auto"/>
            <w:gridSpan w:val="2"/>
            <w:hideMark/>
          </w:tcPr>
          <w:p w:rsidR="003F5D83" w:rsidRPr="00226936" w:rsidRDefault="003F5D83" w:rsidP="00BD6565">
            <w:pPr>
              <w:spacing w:after="0" w:line="276" w:lineRule="auto"/>
              <w:jc w:val="center"/>
              <w:rPr>
                <w:rFonts w:ascii="Times New Roman" w:hAnsi="Times New Roman" w:cs="Times New Roman"/>
                <w:b/>
                <w:bCs/>
                <w:kern w:val="2"/>
                <w14:ligatures w14:val="standardContextual"/>
              </w:rPr>
            </w:pPr>
            <w:r w:rsidRPr="00226936">
              <w:rPr>
                <w:rFonts w:ascii="Times New Roman" w:hAnsi="Times New Roman" w:cs="Times New Roman"/>
                <w:b/>
                <w:bCs/>
                <w:kern w:val="2"/>
                <w14:ligatures w14:val="standardContextual"/>
              </w:rPr>
              <w:t>2020</w:t>
            </w:r>
          </w:p>
          <w:p w:rsidR="003F5D83" w:rsidRPr="00226936" w:rsidRDefault="003F5D83" w:rsidP="00BD6565">
            <w:pPr>
              <w:spacing w:after="0" w:line="276" w:lineRule="auto"/>
              <w:jc w:val="center"/>
              <w:rPr>
                <w:rFonts w:ascii="Times New Roman" w:hAnsi="Times New Roman" w:cs="Times New Roman"/>
                <w:b/>
                <w:bCs/>
                <w:kern w:val="2"/>
                <w14:ligatures w14:val="standardContextual"/>
              </w:rPr>
            </w:pPr>
          </w:p>
        </w:tc>
        <w:tc>
          <w:tcPr>
            <w:tcW w:w="0" w:type="auto"/>
            <w:gridSpan w:val="2"/>
            <w:hideMark/>
          </w:tcPr>
          <w:p w:rsidR="003F5D83" w:rsidRPr="00226936" w:rsidRDefault="003F5D83" w:rsidP="00BD6565">
            <w:pPr>
              <w:spacing w:after="0" w:line="276" w:lineRule="auto"/>
              <w:jc w:val="center"/>
              <w:rPr>
                <w:rFonts w:ascii="Times New Roman" w:hAnsi="Times New Roman" w:cs="Times New Roman"/>
                <w:b/>
                <w:bCs/>
                <w:kern w:val="2"/>
                <w14:ligatures w14:val="standardContextual"/>
              </w:rPr>
            </w:pPr>
            <w:r w:rsidRPr="00226936">
              <w:rPr>
                <w:rFonts w:ascii="Times New Roman" w:hAnsi="Times New Roman" w:cs="Times New Roman"/>
                <w:b/>
                <w:bCs/>
                <w:kern w:val="2"/>
                <w14:ligatures w14:val="standardContextual"/>
              </w:rPr>
              <w:t>2021</w:t>
            </w:r>
          </w:p>
          <w:p w:rsidR="003F5D83" w:rsidRPr="00226936" w:rsidRDefault="003F5D83" w:rsidP="00BD6565">
            <w:pPr>
              <w:spacing w:after="0" w:line="276" w:lineRule="auto"/>
              <w:jc w:val="center"/>
              <w:rPr>
                <w:rFonts w:ascii="Times New Roman" w:hAnsi="Times New Roman" w:cs="Times New Roman"/>
                <w:b/>
                <w:bCs/>
                <w:kern w:val="2"/>
                <w14:ligatures w14:val="standardContextual"/>
              </w:rPr>
            </w:pPr>
          </w:p>
        </w:tc>
        <w:tc>
          <w:tcPr>
            <w:tcW w:w="0" w:type="auto"/>
            <w:gridSpan w:val="2"/>
            <w:hideMark/>
          </w:tcPr>
          <w:p w:rsidR="003F5D83" w:rsidRPr="00226936" w:rsidRDefault="003F5D83" w:rsidP="00BD6565">
            <w:pPr>
              <w:spacing w:after="0" w:line="276" w:lineRule="auto"/>
              <w:jc w:val="center"/>
              <w:rPr>
                <w:rFonts w:ascii="Times New Roman" w:hAnsi="Times New Roman" w:cs="Times New Roman"/>
                <w:b/>
                <w:bCs/>
                <w:kern w:val="2"/>
                <w14:ligatures w14:val="standardContextual"/>
              </w:rPr>
            </w:pPr>
            <w:r w:rsidRPr="00226936">
              <w:rPr>
                <w:rFonts w:ascii="Times New Roman" w:hAnsi="Times New Roman" w:cs="Times New Roman"/>
                <w:b/>
                <w:bCs/>
                <w:kern w:val="2"/>
                <w14:ligatures w14:val="standardContextual"/>
              </w:rPr>
              <w:t>2022</w:t>
            </w:r>
          </w:p>
          <w:p w:rsidR="003F5D83" w:rsidRPr="00226936" w:rsidRDefault="003F5D83" w:rsidP="00BD6565">
            <w:pPr>
              <w:spacing w:after="0" w:line="276" w:lineRule="auto"/>
              <w:jc w:val="center"/>
              <w:rPr>
                <w:rFonts w:ascii="Times New Roman" w:hAnsi="Times New Roman" w:cs="Times New Roman"/>
                <w:b/>
                <w:bCs/>
                <w:kern w:val="2"/>
                <w14:ligatures w14:val="standardContextual"/>
              </w:rPr>
            </w:pPr>
          </w:p>
        </w:tc>
        <w:tc>
          <w:tcPr>
            <w:tcW w:w="0" w:type="auto"/>
            <w:gridSpan w:val="2"/>
            <w:hideMark/>
          </w:tcPr>
          <w:p w:rsidR="003F5D83" w:rsidRPr="00226936" w:rsidRDefault="003F5D83" w:rsidP="00BD6565">
            <w:pPr>
              <w:spacing w:after="0" w:line="276" w:lineRule="auto"/>
              <w:jc w:val="center"/>
              <w:rPr>
                <w:rFonts w:ascii="Times New Roman" w:hAnsi="Times New Roman" w:cs="Times New Roman"/>
                <w:b/>
                <w:bCs/>
                <w:kern w:val="2"/>
                <w14:ligatures w14:val="standardContextual"/>
              </w:rPr>
            </w:pPr>
            <w:r w:rsidRPr="00226936">
              <w:rPr>
                <w:rFonts w:ascii="Times New Roman" w:hAnsi="Times New Roman" w:cs="Times New Roman"/>
                <w:b/>
                <w:bCs/>
                <w:kern w:val="2"/>
                <w14:ligatures w14:val="standardContextual"/>
              </w:rPr>
              <w:t>2023</w:t>
            </w:r>
          </w:p>
          <w:p w:rsidR="003F5D83" w:rsidRPr="00226936" w:rsidRDefault="003F5D83" w:rsidP="00BD6565">
            <w:pPr>
              <w:spacing w:after="0" w:line="276" w:lineRule="auto"/>
              <w:jc w:val="center"/>
              <w:rPr>
                <w:rFonts w:ascii="Times New Roman" w:hAnsi="Times New Roman" w:cs="Times New Roman"/>
                <w:b/>
                <w:bCs/>
                <w:kern w:val="2"/>
                <w14:ligatures w14:val="standardContextual"/>
              </w:rPr>
            </w:pPr>
          </w:p>
        </w:tc>
      </w:tr>
      <w:tr w:rsidR="003F5D83" w:rsidRPr="00226936" w:rsidTr="00521AC7">
        <w:trPr>
          <w:trHeight w:val="420"/>
        </w:trPr>
        <w:tc>
          <w:tcPr>
            <w:tcW w:w="0" w:type="auto"/>
            <w:vMerge/>
          </w:tcPr>
          <w:p w:rsidR="003F5D83" w:rsidRPr="00226936" w:rsidRDefault="003F5D83" w:rsidP="00BD6565">
            <w:pPr>
              <w:spacing w:after="0" w:line="276" w:lineRule="auto"/>
              <w:rPr>
                <w:rFonts w:ascii="Times New Roman" w:hAnsi="Times New Roman" w:cs="Times New Roman"/>
                <w:kern w:val="2"/>
                <w14:ligatures w14:val="standardContextual"/>
              </w:rPr>
            </w:pPr>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Прибыли</w:t>
            </w:r>
            <w:proofErr w:type="spellEnd"/>
          </w:p>
        </w:tc>
        <w:tc>
          <w:tcPr>
            <w:tcW w:w="0" w:type="auto"/>
          </w:tcPr>
          <w:p w:rsidR="003F5D83" w:rsidRPr="00226936" w:rsidRDefault="003F5D83" w:rsidP="00BD6565">
            <w:pPr>
              <w:spacing w:after="0" w:line="276" w:lineRule="auto"/>
              <w:rPr>
                <w:rFonts w:ascii="Times New Roman" w:hAnsi="Times New Roman" w:cs="Times New Roman"/>
                <w:kern w:val="2"/>
                <w:sz w:val="16"/>
                <w:szCs w:val="16"/>
                <w14:ligatures w14:val="standardContextual"/>
              </w:rPr>
            </w:pPr>
            <w:proofErr w:type="spellStart"/>
            <w:r w:rsidRPr="00226936">
              <w:rPr>
                <w:rFonts w:ascii="Times New Roman" w:hAnsi="Times New Roman" w:cs="Times New Roman"/>
                <w:kern w:val="2"/>
                <w:sz w:val="16"/>
                <w:szCs w:val="16"/>
                <w14:ligatures w14:val="standardContextual"/>
              </w:rPr>
              <w:t>Выбыли</w:t>
            </w:r>
            <w:proofErr w:type="spellEnd"/>
          </w:p>
        </w:tc>
      </w:tr>
      <w:tr w:rsidR="003F5D83" w:rsidRPr="00226936" w:rsidTr="00521AC7">
        <w:trPr>
          <w:trHeight w:val="824"/>
        </w:trPr>
        <w:tc>
          <w:tcPr>
            <w:tcW w:w="0" w:type="auto"/>
            <w:vAlign w:val="center"/>
            <w:hideMark/>
          </w:tcPr>
          <w:p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 xml:space="preserve">РР </w:t>
            </w:r>
            <w:proofErr w:type="spellStart"/>
            <w:r w:rsidRPr="00226936">
              <w:rPr>
                <w:rFonts w:ascii="Times New Roman" w:hAnsi="Times New Roman" w:cs="Times New Roman"/>
                <w:kern w:val="2"/>
                <w14:ligatures w14:val="standardContextual"/>
              </w:rPr>
              <w:t>Кишинев</w:t>
            </w:r>
            <w:proofErr w:type="spellEnd"/>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18779</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9919</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21281</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10273</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18250</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9813</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11448</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5918</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9719</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5143</w:t>
            </w:r>
          </w:p>
        </w:tc>
      </w:tr>
      <w:tr w:rsidR="003F5D83" w:rsidRPr="00226936" w:rsidTr="00521AC7">
        <w:trPr>
          <w:trHeight w:val="504"/>
        </w:trPr>
        <w:tc>
          <w:tcPr>
            <w:tcW w:w="0" w:type="auto"/>
            <w:vAlign w:val="center"/>
            <w:hideMark/>
          </w:tcPr>
          <w:p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 xml:space="preserve">РР </w:t>
            </w:r>
            <w:proofErr w:type="spellStart"/>
            <w:r w:rsidRPr="00226936">
              <w:rPr>
                <w:rFonts w:ascii="Times New Roman" w:hAnsi="Times New Roman" w:cs="Times New Roman"/>
                <w:kern w:val="2"/>
                <w14:ligatures w14:val="standardContextual"/>
              </w:rPr>
              <w:t>Север</w:t>
            </w:r>
            <w:proofErr w:type="spellEnd"/>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7289</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10096</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7187</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10721</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6008</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8649</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3427</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5238</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3742</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4965</w:t>
            </w:r>
          </w:p>
        </w:tc>
      </w:tr>
      <w:tr w:rsidR="003F5D83" w:rsidRPr="00226936" w:rsidTr="00521AC7">
        <w:trPr>
          <w:trHeight w:val="504"/>
        </w:trPr>
        <w:tc>
          <w:tcPr>
            <w:tcW w:w="0" w:type="auto"/>
            <w:vAlign w:val="center"/>
            <w:hideMark/>
          </w:tcPr>
          <w:p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 xml:space="preserve">РР </w:t>
            </w:r>
            <w:proofErr w:type="spellStart"/>
            <w:r w:rsidRPr="00226936">
              <w:rPr>
                <w:rFonts w:ascii="Times New Roman" w:hAnsi="Times New Roman" w:cs="Times New Roman"/>
                <w:kern w:val="2"/>
                <w14:ligatures w14:val="standardContextual"/>
              </w:rPr>
              <w:t>Центр</w:t>
            </w:r>
            <w:proofErr w:type="spellEnd"/>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7789</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11554</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7554</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12358</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6025</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9905</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3551</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6239</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3917</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5819</w:t>
            </w:r>
          </w:p>
        </w:tc>
      </w:tr>
      <w:tr w:rsidR="003F5D83" w:rsidRPr="00226936" w:rsidTr="00521AC7">
        <w:trPr>
          <w:trHeight w:val="504"/>
        </w:trPr>
        <w:tc>
          <w:tcPr>
            <w:tcW w:w="0" w:type="auto"/>
            <w:vAlign w:val="center"/>
            <w:hideMark/>
          </w:tcPr>
          <w:p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lastRenderedPageBreak/>
              <w:t xml:space="preserve">РР </w:t>
            </w:r>
            <w:proofErr w:type="spellStart"/>
            <w:r w:rsidRPr="00226936">
              <w:rPr>
                <w:rFonts w:ascii="Times New Roman" w:hAnsi="Times New Roman" w:cs="Times New Roman"/>
                <w:kern w:val="2"/>
                <w14:ligatures w14:val="standardContextual"/>
              </w:rPr>
              <w:t>Юг</w:t>
            </w:r>
            <w:proofErr w:type="spellEnd"/>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3070</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5353</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2991</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5529</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2801</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4493</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1975</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2725</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1694</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2786</w:t>
            </w:r>
          </w:p>
        </w:tc>
      </w:tr>
      <w:tr w:rsidR="003F5D83" w:rsidRPr="00226936" w:rsidTr="00521AC7">
        <w:trPr>
          <w:trHeight w:val="824"/>
        </w:trPr>
        <w:tc>
          <w:tcPr>
            <w:tcW w:w="0" w:type="auto"/>
            <w:vAlign w:val="center"/>
            <w:hideMark/>
          </w:tcPr>
          <w:p w:rsidR="003F5D83" w:rsidRPr="00226936" w:rsidRDefault="003F5D83" w:rsidP="00BD6565">
            <w:pPr>
              <w:spacing w:after="0" w:line="240" w:lineRule="auto"/>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 xml:space="preserve">РР АТО </w:t>
            </w:r>
            <w:proofErr w:type="spellStart"/>
            <w:r w:rsidRPr="00226936">
              <w:rPr>
                <w:rFonts w:ascii="Times New Roman" w:hAnsi="Times New Roman" w:cs="Times New Roman"/>
                <w:kern w:val="2"/>
                <w14:ligatures w14:val="standardContextual"/>
              </w:rPr>
              <w:t>Гагаузия</w:t>
            </w:r>
            <w:proofErr w:type="spellEnd"/>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834</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883</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800</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932</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604</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736</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360</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445</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489</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460</w:t>
            </w:r>
          </w:p>
        </w:tc>
      </w:tr>
      <w:tr w:rsidR="003F5D83" w:rsidRPr="00226936" w:rsidTr="00521AC7">
        <w:trPr>
          <w:trHeight w:val="807"/>
        </w:trPr>
        <w:tc>
          <w:tcPr>
            <w:tcW w:w="0" w:type="auto"/>
            <w:hideMark/>
          </w:tcPr>
          <w:p w:rsidR="003F5D83" w:rsidRPr="00226936" w:rsidRDefault="003F5D83" w:rsidP="00BD6565">
            <w:pPr>
              <w:spacing w:after="0" w:line="240" w:lineRule="auto"/>
              <w:rPr>
                <w:rFonts w:ascii="Times New Roman" w:hAnsi="Times New Roman" w:cs="Times New Roman"/>
                <w:kern w:val="2"/>
                <w:lang w:val="ru-RU"/>
                <w14:ligatures w14:val="standardContextual"/>
              </w:rPr>
            </w:pPr>
            <w:proofErr w:type="spellStart"/>
            <w:r w:rsidRPr="00226936">
              <w:rPr>
                <w:rFonts w:ascii="Times New Roman" w:hAnsi="Times New Roman" w:cs="Times New Roman"/>
                <w:kern w:val="2"/>
                <w14:ligatures w14:val="standardContextual"/>
              </w:rPr>
              <w:t>Всего</w:t>
            </w:r>
            <w:proofErr w:type="spellEnd"/>
            <w:r w:rsidRPr="00226936">
              <w:rPr>
                <w:rFonts w:ascii="Times New Roman" w:hAnsi="Times New Roman" w:cs="Times New Roman"/>
                <w:kern w:val="2"/>
                <w:lang w:val="ru-RU"/>
                <w14:ligatures w14:val="standardContextual"/>
              </w:rPr>
              <w:t xml:space="preserve"> по стране</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37761</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37805</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39813</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39813</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33688</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33596</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20761</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20565</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19561</w:t>
            </w:r>
          </w:p>
        </w:tc>
        <w:tc>
          <w:tcPr>
            <w:tcW w:w="0" w:type="auto"/>
            <w:vAlign w:val="center"/>
            <w:hideMark/>
          </w:tcPr>
          <w:p w:rsidR="003F5D83" w:rsidRPr="00226936" w:rsidRDefault="003F5D83" w:rsidP="00BD6565">
            <w:pPr>
              <w:spacing w:after="0" w:line="240" w:lineRule="auto"/>
              <w:jc w:val="right"/>
              <w:rPr>
                <w:rFonts w:ascii="Times New Roman" w:hAnsi="Times New Roman" w:cs="Times New Roman"/>
                <w:kern w:val="2"/>
                <w14:ligatures w14:val="standardContextual"/>
              </w:rPr>
            </w:pPr>
            <w:r w:rsidRPr="00226936">
              <w:rPr>
                <w:rFonts w:ascii="Times New Roman" w:hAnsi="Times New Roman" w:cs="Times New Roman"/>
                <w:kern w:val="2"/>
                <w14:ligatures w14:val="standardContextual"/>
              </w:rPr>
              <w:t>19173</w:t>
            </w:r>
          </w:p>
        </w:tc>
      </w:tr>
    </w:tbl>
    <w:p w:rsidR="003F5D83" w:rsidRPr="001D7AEF" w:rsidRDefault="003F5D83" w:rsidP="003F5D83">
      <w:pPr>
        <w:spacing w:after="0" w:line="240" w:lineRule="auto"/>
        <w:rPr>
          <w:rFonts w:ascii="Times New Roman" w:hAnsi="Times New Roman" w:cs="Times New Roman"/>
          <w:b/>
          <w:bCs/>
          <w:sz w:val="16"/>
          <w:szCs w:val="16"/>
          <w:lang w:val="ru-RU"/>
        </w:rPr>
      </w:pPr>
      <w:r w:rsidRPr="001D7AEF">
        <w:rPr>
          <w:rFonts w:ascii="Times New Roman" w:hAnsi="Times New Roman" w:cs="Times New Roman"/>
          <w:i/>
          <w:iCs/>
          <w:kern w:val="2"/>
          <w:sz w:val="16"/>
          <w:szCs w:val="16"/>
          <w:lang w:val="ru-RU"/>
          <w14:ligatures w14:val="standardContextual"/>
        </w:rPr>
        <w:t>Источник: Данные представлены МИРР</w:t>
      </w:r>
    </w:p>
    <w:p w:rsidR="003F5D83" w:rsidRPr="00226936" w:rsidRDefault="003F5D83" w:rsidP="003F5D83">
      <w:pPr>
        <w:spacing w:after="0" w:line="240" w:lineRule="auto"/>
        <w:ind w:right="-22"/>
        <w:jc w:val="both"/>
        <w:rPr>
          <w:rFonts w:ascii="Times New Roman" w:hAnsi="Times New Roman" w:cs="Times New Roman"/>
          <w:b/>
          <w:bCs/>
          <w:kern w:val="2"/>
          <w:sz w:val="20"/>
          <w:szCs w:val="20"/>
          <w:lang w:val="ru-RU"/>
          <w14:ligatures w14:val="standardContextual"/>
        </w:rPr>
      </w:pPr>
      <w:r w:rsidRPr="00A8669C">
        <w:rPr>
          <w:rFonts w:ascii="Times New Roman" w:hAnsi="Times New Roman" w:cs="Times New Roman"/>
          <w:b/>
          <w:bCs/>
          <w:kern w:val="2"/>
          <w:sz w:val="20"/>
          <w:szCs w:val="20"/>
          <w:lang w:val="ru-RU"/>
          <w14:ligatures w14:val="standardContextual"/>
        </w:rPr>
        <w:t xml:space="preserve">  </w:t>
      </w:r>
    </w:p>
    <w:p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 xml:space="preserve">Данные свидетельствуют </w:t>
      </w:r>
      <w:r>
        <w:rPr>
          <w:rFonts w:ascii="Times New Roman" w:hAnsi="Times New Roman" w:cs="Times New Roman"/>
          <w:kern w:val="2"/>
          <w:sz w:val="24"/>
          <w:szCs w:val="24"/>
          <w:lang w:val="ru-RU"/>
          <w14:ligatures w14:val="standardContextual"/>
        </w:rPr>
        <w:t xml:space="preserve">о </w:t>
      </w:r>
      <w:r w:rsidRPr="00226936">
        <w:rPr>
          <w:rFonts w:ascii="Times New Roman" w:hAnsi="Times New Roman" w:cs="Times New Roman"/>
          <w:kern w:val="2"/>
          <w:sz w:val="24"/>
          <w:szCs w:val="24"/>
          <w:lang w:val="ru-RU"/>
          <w14:ligatures w14:val="standardContextual"/>
        </w:rPr>
        <w:t>существенном сокращении масштабов внутренней миграции в Республике Молдова в 2019–2023 гг. Если в 2019 г. общее число прибывших составляло 37 761 человек, то в 2023 г. — 19 561 человек, что о</w:t>
      </w:r>
      <w:r>
        <w:rPr>
          <w:rFonts w:ascii="Times New Roman" w:hAnsi="Times New Roman" w:cs="Times New Roman"/>
          <w:kern w:val="2"/>
          <w:sz w:val="24"/>
          <w:szCs w:val="24"/>
          <w:lang w:val="ru-RU"/>
          <w14:ligatures w14:val="standardContextual"/>
        </w:rPr>
        <w:t>траж</w:t>
      </w:r>
      <w:r w:rsidRPr="00226936">
        <w:rPr>
          <w:rFonts w:ascii="Times New Roman" w:hAnsi="Times New Roman" w:cs="Times New Roman"/>
          <w:kern w:val="2"/>
          <w:sz w:val="24"/>
          <w:szCs w:val="24"/>
          <w:lang w:val="ru-RU"/>
          <w14:ligatures w14:val="standardContextual"/>
        </w:rPr>
        <w:t>ает снижение на 18 200 человек или примерно на 48,2%. Аналогичная тенденция наблюдается и по числу выбывших.</w:t>
      </w:r>
    </w:p>
    <w:p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Наиболее выраженные миграционные потоки сосредоточены в регионе Кишинёва, который демонстрирует устойчивое положительное миграционное сальдо. Так, в 2023 г. число прибывших (9 719 человек) почти вдвое превышает число выбывших (5 143 человека), что свидетельствует о притяжении населения за счёт более благоприятных экономических условий и более высокого уровня доходов.</w:t>
      </w:r>
    </w:p>
    <w:p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 то же время северный, центральный и южный регионы характеризуются отрицательным миграционным сальдо. В 2023 г. в регионе Север число выбывших превышает прибывших на 1 223 человека, что составляет 32,7% от числа прибывших. В регионе Центр данный разрыв составляет 1 902 человека или 48,6%, а в регионе Юг — 1 092 человека или 64,5%, что указывает на наиболее интенсивный отток населения именно в южных территориях.</w:t>
      </w:r>
    </w:p>
    <w:p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 АТО Гагаузия</w:t>
      </w:r>
      <w:r>
        <w:rPr>
          <w:rFonts w:ascii="Times New Roman" w:hAnsi="Times New Roman" w:cs="Times New Roman"/>
          <w:kern w:val="2"/>
          <w:sz w:val="24"/>
          <w:szCs w:val="24"/>
          <w:lang w:val="ru-RU"/>
          <w14:ligatures w14:val="standardContextual"/>
        </w:rPr>
        <w:t>,</w:t>
      </w:r>
      <w:r w:rsidRPr="00226936">
        <w:rPr>
          <w:rFonts w:ascii="Times New Roman" w:hAnsi="Times New Roman" w:cs="Times New Roman"/>
          <w:kern w:val="2"/>
          <w:sz w:val="24"/>
          <w:szCs w:val="24"/>
          <w:lang w:val="ru-RU"/>
          <w14:ligatures w14:val="standardContextual"/>
        </w:rPr>
        <w:t xml:space="preserve"> в отличие от большинства регионов</w:t>
      </w:r>
      <w:r>
        <w:rPr>
          <w:rFonts w:ascii="Times New Roman" w:hAnsi="Times New Roman" w:cs="Times New Roman"/>
          <w:kern w:val="2"/>
          <w:sz w:val="24"/>
          <w:szCs w:val="24"/>
          <w:lang w:val="ru-RU"/>
          <w14:ligatures w14:val="standardContextual"/>
        </w:rPr>
        <w:t>,</w:t>
      </w:r>
      <w:r w:rsidRPr="00226936">
        <w:rPr>
          <w:rFonts w:ascii="Times New Roman" w:hAnsi="Times New Roman" w:cs="Times New Roman"/>
          <w:kern w:val="2"/>
          <w:sz w:val="24"/>
          <w:szCs w:val="24"/>
          <w:lang w:val="ru-RU"/>
          <w14:ligatures w14:val="standardContextual"/>
        </w:rPr>
        <w:t xml:space="preserve"> в 2023 г. наблюдается незначительное положительное миграционное сальдо: число прибывших составило 489 человек, а выбывших — 460 человек, что даёт прирост в 29 человек или 5,9% от числа прибывших. Однако в предыдущие годы (2019–2022 гг.) для региона был характерен отрицательный баланс, что свидетельствует о нестабильности миграционных процессов. В целом низкая интенсивность миграции в АТО Гагаузия обусловлена ограниченной экономической привлекательностью региона, сравнительно невысоким уровнем деловой активности и слабой урбанизацией, что снижает как приток населения, так и масштабы его оттока.</w:t>
      </w:r>
    </w:p>
    <w:p w:rsidR="003F5D83" w:rsidRDefault="003F5D83" w:rsidP="00D46DAD">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Наряду с внутренней миграцией важное значение имеет анализ внешних миграционных процессов, поскольку именно они в наибольшей степени влияют на численность населения и трудовой потенциал регионов.</w:t>
      </w:r>
    </w:p>
    <w:p w:rsidR="003F5D83" w:rsidRPr="00226936" w:rsidRDefault="003F5D83" w:rsidP="003F5D83">
      <w:pPr>
        <w:spacing w:after="0" w:line="240" w:lineRule="auto"/>
        <w:jc w:val="both"/>
        <w:rPr>
          <w:rFonts w:ascii="Times New Roman" w:hAnsi="Times New Roman" w:cs="Times New Roman"/>
          <w:kern w:val="2"/>
          <w:sz w:val="24"/>
          <w:szCs w:val="24"/>
          <w:lang w:val="ru-RU"/>
          <w14:ligatures w14:val="standardContextual"/>
        </w:rPr>
      </w:pPr>
    </w:p>
    <w:p w:rsidR="003F5D83" w:rsidRDefault="003F5D83" w:rsidP="003F5D83">
      <w:pPr>
        <w:spacing w:after="0" w:line="240" w:lineRule="auto"/>
        <w:jc w:val="center"/>
        <w:rPr>
          <w:rFonts w:ascii="Times New Roman" w:hAnsi="Times New Roman" w:cs="Times New Roman"/>
          <w:b/>
          <w:bCs/>
          <w:kern w:val="2"/>
          <w:sz w:val="24"/>
          <w:szCs w:val="24"/>
          <w:lang w:val="ru-RU"/>
          <w14:ligatures w14:val="standardContextual"/>
        </w:rPr>
      </w:pPr>
      <w:r w:rsidRPr="00226936">
        <w:rPr>
          <w:rFonts w:ascii="Times New Roman" w:hAnsi="Times New Roman" w:cs="Times New Roman"/>
          <w:b/>
          <w:bCs/>
          <w:kern w:val="2"/>
          <w:sz w:val="24"/>
          <w:szCs w:val="24"/>
          <w:lang w:val="ru-RU"/>
          <w14:ligatures w14:val="standardContextual"/>
        </w:rPr>
        <w:t xml:space="preserve">Таблица </w:t>
      </w:r>
      <w:r>
        <w:rPr>
          <w:rFonts w:ascii="Times New Roman" w:hAnsi="Times New Roman" w:cs="Times New Roman"/>
          <w:b/>
          <w:bCs/>
          <w:kern w:val="2"/>
          <w:sz w:val="24"/>
          <w:szCs w:val="24"/>
          <w:lang w:val="ru-RU"/>
          <w14:ligatures w14:val="standardContextual"/>
        </w:rPr>
        <w:t>2.24.</w:t>
      </w:r>
      <w:r w:rsidRPr="00226936">
        <w:rPr>
          <w:rFonts w:ascii="Times New Roman" w:hAnsi="Times New Roman" w:cs="Times New Roman"/>
          <w:b/>
          <w:bCs/>
          <w:kern w:val="2"/>
          <w:sz w:val="24"/>
          <w:szCs w:val="24"/>
          <w:lang w:val="ru-RU"/>
          <w14:ligatures w14:val="standardContextual"/>
        </w:rPr>
        <w:t xml:space="preserve"> Динамика внешней миграции населения по регионам развития Республики Молдова, 2019–2023 гг., чел.</w:t>
      </w:r>
    </w:p>
    <w:p w:rsidR="00521AC7" w:rsidRPr="00226936" w:rsidRDefault="00521AC7" w:rsidP="003F5D83">
      <w:pPr>
        <w:spacing w:after="0" w:line="240" w:lineRule="auto"/>
        <w:jc w:val="center"/>
        <w:rPr>
          <w:rFonts w:ascii="Times New Roman" w:hAnsi="Times New Roman" w:cs="Times New Roman"/>
          <w:kern w:val="2"/>
          <w:sz w:val="24"/>
          <w:szCs w:val="24"/>
          <w:lang w:val="ru-RU"/>
          <w14:ligatures w14:val="standardContextual"/>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813"/>
        <w:gridCol w:w="812"/>
        <w:gridCol w:w="813"/>
        <w:gridCol w:w="812"/>
        <w:gridCol w:w="813"/>
        <w:gridCol w:w="812"/>
        <w:gridCol w:w="813"/>
        <w:gridCol w:w="812"/>
        <w:gridCol w:w="803"/>
        <w:gridCol w:w="796"/>
      </w:tblGrid>
      <w:tr w:rsidR="003F5D83" w:rsidRPr="00226936" w:rsidTr="00521AC7">
        <w:trPr>
          <w:trHeight w:val="484"/>
        </w:trPr>
        <w:tc>
          <w:tcPr>
            <w:tcW w:w="1214" w:type="dxa"/>
            <w:vMerge w:val="restart"/>
            <w:vAlign w:val="center"/>
            <w:hideMark/>
          </w:tcPr>
          <w:p w:rsidR="003F5D83" w:rsidRPr="00226936" w:rsidRDefault="003F5D83" w:rsidP="003F5D83">
            <w:pPr>
              <w:jc w:val="center"/>
              <w:rPr>
                <w:rFonts w:ascii="Times New Roman" w:hAnsi="Times New Roman" w:cs="Times New Roman"/>
                <w:b/>
                <w:bCs/>
                <w:kern w:val="2"/>
                <w:sz w:val="21"/>
                <w:szCs w:val="21"/>
                <w:lang w:val="ru-RU"/>
                <w14:ligatures w14:val="standardContextual"/>
              </w:rPr>
            </w:pPr>
            <w:r w:rsidRPr="00226936">
              <w:rPr>
                <w:rFonts w:ascii="Times New Roman" w:hAnsi="Times New Roman" w:cs="Times New Roman"/>
                <w:b/>
                <w:bCs/>
                <w:kern w:val="2"/>
                <w:sz w:val="21"/>
                <w:szCs w:val="21"/>
                <w:lang w:val="ru-RU"/>
                <w14:ligatures w14:val="standardContextual"/>
              </w:rPr>
              <w:t>Регион</w:t>
            </w:r>
          </w:p>
        </w:tc>
        <w:tc>
          <w:tcPr>
            <w:tcW w:w="1625" w:type="dxa"/>
            <w:gridSpan w:val="2"/>
            <w:vAlign w:val="center"/>
            <w:hideMark/>
          </w:tcPr>
          <w:p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2019</w:t>
            </w:r>
          </w:p>
        </w:tc>
        <w:tc>
          <w:tcPr>
            <w:tcW w:w="1625" w:type="dxa"/>
            <w:gridSpan w:val="2"/>
            <w:vAlign w:val="center"/>
            <w:hideMark/>
          </w:tcPr>
          <w:p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2020</w:t>
            </w:r>
          </w:p>
        </w:tc>
        <w:tc>
          <w:tcPr>
            <w:tcW w:w="1625" w:type="dxa"/>
            <w:gridSpan w:val="2"/>
            <w:vAlign w:val="center"/>
            <w:hideMark/>
          </w:tcPr>
          <w:p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2021</w:t>
            </w:r>
          </w:p>
        </w:tc>
        <w:tc>
          <w:tcPr>
            <w:tcW w:w="1625" w:type="dxa"/>
            <w:gridSpan w:val="2"/>
            <w:vAlign w:val="center"/>
            <w:hideMark/>
          </w:tcPr>
          <w:p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2022</w:t>
            </w:r>
          </w:p>
        </w:tc>
        <w:tc>
          <w:tcPr>
            <w:tcW w:w="1599" w:type="dxa"/>
            <w:gridSpan w:val="2"/>
            <w:vAlign w:val="center"/>
            <w:hideMark/>
          </w:tcPr>
          <w:p w:rsidR="003F5D83" w:rsidRPr="00226936" w:rsidRDefault="003F5D83" w:rsidP="003F5D83">
            <w:pPr>
              <w:jc w:val="center"/>
              <w:rPr>
                <w:rFonts w:ascii="Times New Roman" w:hAnsi="Times New Roman" w:cs="Times New Roman"/>
                <w:b/>
                <w:bCs/>
                <w:kern w:val="2"/>
                <w:sz w:val="21"/>
                <w:szCs w:val="21"/>
                <w14:ligatures w14:val="standardContextual"/>
              </w:rPr>
            </w:pPr>
            <w:r w:rsidRPr="00226936">
              <w:rPr>
                <w:rFonts w:ascii="Times New Roman" w:hAnsi="Times New Roman" w:cs="Times New Roman"/>
                <w:b/>
                <w:bCs/>
                <w:kern w:val="2"/>
                <w:sz w:val="21"/>
                <w:szCs w:val="21"/>
                <w14:ligatures w14:val="standardContextual"/>
              </w:rPr>
              <w:t>2023</w:t>
            </w:r>
          </w:p>
        </w:tc>
      </w:tr>
      <w:tr w:rsidR="003F5D83" w:rsidRPr="00226936" w:rsidTr="00521AC7">
        <w:trPr>
          <w:trHeight w:val="137"/>
        </w:trPr>
        <w:tc>
          <w:tcPr>
            <w:tcW w:w="1214" w:type="dxa"/>
            <w:vMerge/>
            <w:hideMark/>
          </w:tcPr>
          <w:p w:rsidR="003F5D83" w:rsidRPr="00226936" w:rsidRDefault="003F5D83" w:rsidP="003F5D83">
            <w:pPr>
              <w:rPr>
                <w:rFonts w:ascii="Times New Roman" w:hAnsi="Times New Roman" w:cs="Times New Roman"/>
                <w:b/>
                <w:bCs/>
                <w:kern w:val="2"/>
                <w:sz w:val="21"/>
                <w:szCs w:val="21"/>
                <w14:ligatures w14:val="standardContextual"/>
              </w:rPr>
            </w:pPr>
          </w:p>
        </w:tc>
        <w:tc>
          <w:tcPr>
            <w:tcW w:w="813"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812"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c>
          <w:tcPr>
            <w:tcW w:w="813"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812"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c>
          <w:tcPr>
            <w:tcW w:w="813"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812"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c>
          <w:tcPr>
            <w:tcW w:w="813"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812"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c>
          <w:tcPr>
            <w:tcW w:w="803"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Иммигранты</w:t>
            </w:r>
            <w:proofErr w:type="spellEnd"/>
          </w:p>
        </w:tc>
        <w:tc>
          <w:tcPr>
            <w:tcW w:w="795" w:type="dxa"/>
            <w:hideMark/>
          </w:tcPr>
          <w:p w:rsidR="003F5D83" w:rsidRPr="00226936" w:rsidRDefault="003F5D83" w:rsidP="003F5D83">
            <w:pPr>
              <w:jc w:val="center"/>
              <w:rPr>
                <w:rFonts w:ascii="Times New Roman" w:hAnsi="Times New Roman" w:cs="Times New Roman"/>
                <w:kern w:val="2"/>
                <w:sz w:val="14"/>
                <w:szCs w:val="14"/>
                <w14:ligatures w14:val="standardContextual"/>
              </w:rPr>
            </w:pPr>
            <w:proofErr w:type="spellStart"/>
            <w:r w:rsidRPr="00226936">
              <w:rPr>
                <w:rFonts w:ascii="Times New Roman" w:hAnsi="Times New Roman" w:cs="Times New Roman"/>
                <w:kern w:val="2"/>
                <w:sz w:val="14"/>
                <w:szCs w:val="14"/>
                <w14:ligatures w14:val="standardContextual"/>
              </w:rPr>
              <w:t>Эмигранты</w:t>
            </w:r>
            <w:proofErr w:type="spellEnd"/>
          </w:p>
        </w:tc>
      </w:tr>
      <w:tr w:rsidR="003F5D83" w:rsidRPr="00226936" w:rsidTr="00521AC7">
        <w:trPr>
          <w:trHeight w:val="484"/>
        </w:trPr>
        <w:tc>
          <w:tcPr>
            <w:tcW w:w="1214" w:type="dxa"/>
            <w:vAlign w:val="center"/>
            <w:hideMark/>
          </w:tcPr>
          <w:p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eastAsia="Times New Roman" w:hAnsi="Times New Roman" w:cs="Times New Roman"/>
                <w:sz w:val="21"/>
                <w:szCs w:val="21"/>
                <w:lang w:val="ru-RU"/>
              </w:rPr>
              <w:t xml:space="preserve">Всего по стране </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116 196</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153 289</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65 167</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72 372</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68 356</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113 769</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177 875</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241 448</w:t>
            </w:r>
          </w:p>
        </w:tc>
        <w:tc>
          <w:tcPr>
            <w:tcW w:w="80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97 517</w:t>
            </w:r>
          </w:p>
        </w:tc>
        <w:tc>
          <w:tcPr>
            <w:tcW w:w="795"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130 084</w:t>
            </w:r>
          </w:p>
        </w:tc>
      </w:tr>
      <w:tr w:rsidR="003F5D83" w:rsidRPr="00226936" w:rsidTr="00521AC7">
        <w:trPr>
          <w:trHeight w:val="210"/>
        </w:trPr>
        <w:tc>
          <w:tcPr>
            <w:tcW w:w="1214" w:type="dxa"/>
            <w:vAlign w:val="center"/>
            <w:hideMark/>
          </w:tcPr>
          <w:p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t xml:space="preserve">РР </w:t>
            </w:r>
            <w:proofErr w:type="spellStart"/>
            <w:r w:rsidRPr="00226936">
              <w:rPr>
                <w:rFonts w:ascii="Times New Roman" w:hAnsi="Times New Roman" w:cs="Times New Roman"/>
                <w:kern w:val="2"/>
                <w:sz w:val="21"/>
                <w:szCs w:val="21"/>
                <w14:ligatures w14:val="standardContextual"/>
              </w:rPr>
              <w:t>Кишинев</w:t>
            </w:r>
            <w:proofErr w:type="spellEnd"/>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22 434</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32 552</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11 597</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14 150</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12 925</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19 919</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35 215</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46 512</w:t>
            </w:r>
          </w:p>
        </w:tc>
        <w:tc>
          <w:tcPr>
            <w:tcW w:w="80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17 441</w:t>
            </w:r>
          </w:p>
        </w:tc>
        <w:tc>
          <w:tcPr>
            <w:tcW w:w="795"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23 336</w:t>
            </w:r>
          </w:p>
        </w:tc>
      </w:tr>
      <w:tr w:rsidR="003F5D83" w:rsidRPr="00226936" w:rsidTr="00521AC7">
        <w:trPr>
          <w:trHeight w:val="484"/>
        </w:trPr>
        <w:tc>
          <w:tcPr>
            <w:tcW w:w="1214" w:type="dxa"/>
            <w:vAlign w:val="center"/>
            <w:hideMark/>
          </w:tcPr>
          <w:p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t xml:space="preserve">РР </w:t>
            </w:r>
            <w:proofErr w:type="spellStart"/>
            <w:r w:rsidRPr="00226936">
              <w:rPr>
                <w:rFonts w:ascii="Times New Roman" w:hAnsi="Times New Roman" w:cs="Times New Roman"/>
                <w:kern w:val="2"/>
                <w:sz w:val="21"/>
                <w:szCs w:val="21"/>
                <w14:ligatures w14:val="standardContextual"/>
              </w:rPr>
              <w:t>Север</w:t>
            </w:r>
            <w:proofErr w:type="spellEnd"/>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32 370</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41 063</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19 764</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19 988</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18 617</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34 286</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48 781</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71 763</w:t>
            </w:r>
          </w:p>
        </w:tc>
        <w:tc>
          <w:tcPr>
            <w:tcW w:w="80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27 336</w:t>
            </w:r>
          </w:p>
        </w:tc>
        <w:tc>
          <w:tcPr>
            <w:tcW w:w="795"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39 096</w:t>
            </w:r>
          </w:p>
        </w:tc>
      </w:tr>
      <w:tr w:rsidR="003F5D83" w:rsidRPr="00226936" w:rsidTr="00521AC7">
        <w:trPr>
          <w:trHeight w:val="210"/>
        </w:trPr>
        <w:tc>
          <w:tcPr>
            <w:tcW w:w="1214" w:type="dxa"/>
            <w:vAlign w:val="center"/>
            <w:hideMark/>
          </w:tcPr>
          <w:p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lastRenderedPageBreak/>
              <w:t xml:space="preserve">РР </w:t>
            </w:r>
            <w:proofErr w:type="spellStart"/>
            <w:r w:rsidRPr="00226936">
              <w:rPr>
                <w:rFonts w:ascii="Times New Roman" w:hAnsi="Times New Roman" w:cs="Times New Roman"/>
                <w:kern w:val="2"/>
                <w:sz w:val="21"/>
                <w:szCs w:val="21"/>
                <w14:ligatures w14:val="standardContextual"/>
              </w:rPr>
              <w:t>Центр</w:t>
            </w:r>
            <w:proofErr w:type="spellEnd"/>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36 713</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49 312</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19 994</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23 538</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21 851</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35 370</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55 437</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73 573</w:t>
            </w:r>
          </w:p>
        </w:tc>
        <w:tc>
          <w:tcPr>
            <w:tcW w:w="80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32 750</w:t>
            </w:r>
          </w:p>
        </w:tc>
        <w:tc>
          <w:tcPr>
            <w:tcW w:w="795"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40 241</w:t>
            </w:r>
          </w:p>
        </w:tc>
      </w:tr>
      <w:tr w:rsidR="003F5D83" w:rsidRPr="00226936" w:rsidTr="00521AC7">
        <w:trPr>
          <w:trHeight w:val="241"/>
        </w:trPr>
        <w:tc>
          <w:tcPr>
            <w:tcW w:w="1214" w:type="dxa"/>
            <w:vAlign w:val="center"/>
            <w:hideMark/>
          </w:tcPr>
          <w:p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t xml:space="preserve">РР </w:t>
            </w:r>
            <w:proofErr w:type="spellStart"/>
            <w:r w:rsidRPr="00226936">
              <w:rPr>
                <w:rFonts w:ascii="Times New Roman" w:hAnsi="Times New Roman" w:cs="Times New Roman"/>
                <w:kern w:val="2"/>
                <w:sz w:val="21"/>
                <w:szCs w:val="21"/>
                <w14:ligatures w14:val="standardContextual"/>
              </w:rPr>
              <w:t>Юг</w:t>
            </w:r>
            <w:proofErr w:type="spellEnd"/>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18 656</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24 483</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10 556</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11 553</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11 384</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18 542</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29 355</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38 685</w:t>
            </w:r>
          </w:p>
        </w:tc>
        <w:tc>
          <w:tcPr>
            <w:tcW w:w="80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15 496</w:t>
            </w:r>
          </w:p>
        </w:tc>
        <w:tc>
          <w:tcPr>
            <w:tcW w:w="795"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21 299</w:t>
            </w:r>
          </w:p>
        </w:tc>
      </w:tr>
      <w:tr w:rsidR="003F5D83" w:rsidRPr="00226936" w:rsidTr="00521AC7">
        <w:trPr>
          <w:trHeight w:val="46"/>
        </w:trPr>
        <w:tc>
          <w:tcPr>
            <w:tcW w:w="1214" w:type="dxa"/>
            <w:vAlign w:val="center"/>
            <w:hideMark/>
          </w:tcPr>
          <w:p w:rsidR="003F5D83" w:rsidRPr="00226936" w:rsidRDefault="003F5D83" w:rsidP="003F5D83">
            <w:pPr>
              <w:rPr>
                <w:rFonts w:ascii="Times New Roman" w:hAnsi="Times New Roman" w:cs="Times New Roman"/>
                <w:b/>
                <w:bCs/>
                <w:kern w:val="2"/>
                <w:sz w:val="21"/>
                <w:szCs w:val="21"/>
                <w14:ligatures w14:val="standardContextual"/>
              </w:rPr>
            </w:pPr>
            <w:r w:rsidRPr="00226936">
              <w:rPr>
                <w:rFonts w:ascii="Times New Roman" w:hAnsi="Times New Roman" w:cs="Times New Roman"/>
                <w:kern w:val="2"/>
                <w:sz w:val="21"/>
                <w:szCs w:val="21"/>
                <w14:ligatures w14:val="standardContextual"/>
              </w:rPr>
              <w:t xml:space="preserve">РР АТО </w:t>
            </w:r>
            <w:proofErr w:type="spellStart"/>
            <w:r w:rsidRPr="00226936">
              <w:rPr>
                <w:rFonts w:ascii="Times New Roman" w:hAnsi="Times New Roman" w:cs="Times New Roman"/>
                <w:kern w:val="2"/>
                <w:sz w:val="21"/>
                <w:szCs w:val="21"/>
                <w14:ligatures w14:val="standardContextual"/>
              </w:rPr>
              <w:t>Гагаузия</w:t>
            </w:r>
            <w:proofErr w:type="spellEnd"/>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6023</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5 879</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3256</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3143</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3579</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5652</w:t>
            </w:r>
          </w:p>
        </w:tc>
        <w:tc>
          <w:tcPr>
            <w:tcW w:w="81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9087</w:t>
            </w:r>
          </w:p>
        </w:tc>
        <w:tc>
          <w:tcPr>
            <w:tcW w:w="812"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10 915</w:t>
            </w:r>
          </w:p>
        </w:tc>
        <w:tc>
          <w:tcPr>
            <w:tcW w:w="803"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4494</w:t>
            </w:r>
          </w:p>
        </w:tc>
        <w:tc>
          <w:tcPr>
            <w:tcW w:w="795" w:type="dxa"/>
            <w:noWrap/>
            <w:vAlign w:val="bottom"/>
            <w:hideMark/>
          </w:tcPr>
          <w:p w:rsidR="003F5D83" w:rsidRPr="00226936" w:rsidRDefault="003F5D83" w:rsidP="003F5D83">
            <w:pPr>
              <w:jc w:val="right"/>
              <w:rPr>
                <w:rFonts w:ascii="Times New Roman" w:hAnsi="Times New Roman" w:cs="Times New Roman"/>
                <w:kern w:val="2"/>
                <w:sz w:val="18"/>
                <w:szCs w:val="18"/>
                <w14:ligatures w14:val="standardContextual"/>
              </w:rPr>
            </w:pPr>
            <w:r w:rsidRPr="00226936">
              <w:rPr>
                <w:rFonts w:ascii="Times New Roman" w:hAnsi="Times New Roman" w:cs="Times New Roman"/>
                <w:kern w:val="2"/>
                <w:sz w:val="18"/>
                <w:szCs w:val="18"/>
                <w14:ligatures w14:val="standardContextual"/>
              </w:rPr>
              <w:t>6 112</w:t>
            </w:r>
          </w:p>
        </w:tc>
      </w:tr>
    </w:tbl>
    <w:p w:rsidR="003F5D83" w:rsidRPr="00956C2B" w:rsidRDefault="003F5D83" w:rsidP="003F5D83">
      <w:pPr>
        <w:tabs>
          <w:tab w:val="left" w:pos="8789"/>
        </w:tabs>
        <w:spacing w:after="0" w:line="240" w:lineRule="auto"/>
        <w:ind w:right="-22"/>
        <w:jc w:val="both"/>
        <w:rPr>
          <w:rFonts w:ascii="Times New Roman" w:hAnsi="Times New Roman" w:cs="Times New Roman"/>
          <w:i/>
          <w:iCs/>
          <w:kern w:val="2"/>
          <w:sz w:val="16"/>
          <w:szCs w:val="16"/>
          <w14:ligatures w14:val="standardContextual"/>
        </w:rPr>
      </w:pPr>
      <w:proofErr w:type="spellStart"/>
      <w:r w:rsidRPr="00956C2B">
        <w:rPr>
          <w:rFonts w:ascii="Times New Roman" w:hAnsi="Times New Roman" w:cs="Times New Roman"/>
          <w:i/>
          <w:iCs/>
          <w:kern w:val="2"/>
          <w:sz w:val="16"/>
          <w:szCs w:val="16"/>
          <w14:ligatures w14:val="standardContextual"/>
        </w:rPr>
        <w:t>Источник</w:t>
      </w:r>
      <w:proofErr w:type="spellEnd"/>
      <w:r w:rsidRPr="00956C2B">
        <w:rPr>
          <w:rFonts w:ascii="Times New Roman" w:hAnsi="Times New Roman" w:cs="Times New Roman"/>
          <w:i/>
          <w:iCs/>
          <w:kern w:val="2"/>
          <w:sz w:val="16"/>
          <w:szCs w:val="16"/>
          <w14:ligatures w14:val="standardContextual"/>
        </w:rPr>
        <w:t xml:space="preserve">: Banca de date </w:t>
      </w:r>
      <w:proofErr w:type="spellStart"/>
      <w:r w:rsidRPr="00956C2B">
        <w:rPr>
          <w:rFonts w:ascii="Times New Roman" w:hAnsi="Times New Roman" w:cs="Times New Roman"/>
          <w:i/>
          <w:iCs/>
          <w:kern w:val="2"/>
          <w:sz w:val="16"/>
          <w:szCs w:val="16"/>
          <w14:ligatures w14:val="standardContextual"/>
        </w:rPr>
        <w:t>statistică</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StatBank</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Imigranți</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și</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emigranți</w:t>
      </w:r>
      <w:proofErr w:type="spellEnd"/>
      <w:r w:rsidRPr="00956C2B">
        <w:rPr>
          <w:rFonts w:ascii="Times New Roman" w:hAnsi="Times New Roman" w:cs="Times New Roman"/>
          <w:i/>
          <w:iCs/>
          <w:kern w:val="2"/>
          <w:sz w:val="16"/>
          <w:szCs w:val="16"/>
          <w14:ligatures w14:val="standardContextual"/>
        </w:rPr>
        <w:t xml:space="preserve"> pe </w:t>
      </w:r>
      <w:proofErr w:type="spellStart"/>
      <w:r w:rsidRPr="00956C2B">
        <w:rPr>
          <w:rFonts w:ascii="Times New Roman" w:hAnsi="Times New Roman" w:cs="Times New Roman"/>
          <w:i/>
          <w:iCs/>
          <w:kern w:val="2"/>
          <w:sz w:val="16"/>
          <w:szCs w:val="16"/>
          <w14:ligatures w14:val="standardContextual"/>
        </w:rPr>
        <w:t>regiuni</w:t>
      </w:r>
      <w:proofErr w:type="spellEnd"/>
      <w:r w:rsidRPr="00956C2B">
        <w:rPr>
          <w:rFonts w:ascii="Times New Roman" w:hAnsi="Times New Roman" w:cs="Times New Roman"/>
          <w:i/>
          <w:iCs/>
          <w:kern w:val="2"/>
          <w:sz w:val="16"/>
          <w:szCs w:val="16"/>
          <w14:ligatures w14:val="standardContextual"/>
        </w:rPr>
        <w:t>/</w:t>
      </w:r>
      <w:proofErr w:type="spellStart"/>
      <w:r w:rsidRPr="00956C2B">
        <w:rPr>
          <w:rFonts w:ascii="Times New Roman" w:hAnsi="Times New Roman" w:cs="Times New Roman"/>
          <w:i/>
          <w:iCs/>
          <w:kern w:val="2"/>
          <w:sz w:val="16"/>
          <w:szCs w:val="16"/>
          <w14:ligatures w14:val="standardContextual"/>
        </w:rPr>
        <w:t>raioane</w:t>
      </w:r>
      <w:proofErr w:type="spellEnd"/>
      <w:r w:rsidRPr="00956C2B">
        <w:rPr>
          <w:rFonts w:ascii="Times New Roman" w:hAnsi="Times New Roman" w:cs="Times New Roman"/>
          <w:i/>
          <w:iCs/>
          <w:kern w:val="2"/>
          <w:sz w:val="16"/>
          <w:szCs w:val="16"/>
          <w14:ligatures w14:val="standardContextual"/>
        </w:rPr>
        <w:t xml:space="preserve">, ani, </w:t>
      </w:r>
      <w:proofErr w:type="spellStart"/>
      <w:r w:rsidRPr="00956C2B">
        <w:rPr>
          <w:rFonts w:ascii="Times New Roman" w:hAnsi="Times New Roman" w:cs="Times New Roman"/>
          <w:i/>
          <w:iCs/>
          <w:kern w:val="2"/>
          <w:sz w:val="16"/>
          <w:szCs w:val="16"/>
          <w14:ligatures w14:val="standardContextual"/>
        </w:rPr>
        <w:t>indicatori</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și</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sexe</w:t>
      </w:r>
      <w:proofErr w:type="spellEnd"/>
      <w:r w:rsidRPr="00956C2B">
        <w:rPr>
          <w:rFonts w:ascii="Times New Roman" w:hAnsi="Times New Roman" w:cs="Times New Roman"/>
          <w:i/>
          <w:iCs/>
          <w:kern w:val="2"/>
          <w:sz w:val="16"/>
          <w:szCs w:val="16"/>
          <w14:ligatures w14:val="standardContextual"/>
        </w:rPr>
        <w:t>, 2019–2023 [</w:t>
      </w:r>
      <w:proofErr w:type="spellStart"/>
      <w:r w:rsidRPr="00956C2B">
        <w:rPr>
          <w:rFonts w:ascii="Times New Roman" w:hAnsi="Times New Roman" w:cs="Times New Roman"/>
          <w:i/>
          <w:iCs/>
          <w:kern w:val="2"/>
          <w:sz w:val="16"/>
          <w:szCs w:val="16"/>
          <w14:ligatures w14:val="standardContextual"/>
        </w:rPr>
        <w:t>resursă</w:t>
      </w:r>
      <w:proofErr w:type="spellEnd"/>
      <w:r w:rsidRPr="00956C2B">
        <w:rPr>
          <w:rFonts w:ascii="Times New Roman" w:hAnsi="Times New Roman" w:cs="Times New Roman"/>
          <w:i/>
          <w:iCs/>
          <w:kern w:val="2"/>
          <w:sz w:val="16"/>
          <w:szCs w:val="16"/>
          <w14:ligatures w14:val="standardContextual"/>
        </w:rPr>
        <w:t xml:space="preserve"> </w:t>
      </w:r>
      <w:proofErr w:type="spellStart"/>
      <w:r w:rsidRPr="00956C2B">
        <w:rPr>
          <w:rFonts w:ascii="Times New Roman" w:hAnsi="Times New Roman" w:cs="Times New Roman"/>
          <w:i/>
          <w:iCs/>
          <w:kern w:val="2"/>
          <w:sz w:val="16"/>
          <w:szCs w:val="16"/>
          <w14:ligatures w14:val="standardContextual"/>
        </w:rPr>
        <w:t>electronică</w:t>
      </w:r>
      <w:proofErr w:type="spellEnd"/>
      <w:r w:rsidRPr="00956C2B">
        <w:rPr>
          <w:rFonts w:ascii="Times New Roman" w:hAnsi="Times New Roman" w:cs="Times New Roman"/>
          <w:i/>
          <w:iCs/>
          <w:kern w:val="2"/>
          <w:sz w:val="16"/>
          <w:szCs w:val="16"/>
          <w14:ligatures w14:val="standardContextual"/>
        </w:rPr>
        <w:t xml:space="preserve">]. – </w:t>
      </w:r>
      <w:proofErr w:type="spellStart"/>
      <w:r w:rsidRPr="00956C2B">
        <w:rPr>
          <w:rFonts w:ascii="Times New Roman" w:hAnsi="Times New Roman" w:cs="Times New Roman"/>
          <w:i/>
          <w:iCs/>
          <w:kern w:val="2"/>
          <w:sz w:val="16"/>
          <w:szCs w:val="16"/>
          <w14:ligatures w14:val="standardContextual"/>
        </w:rPr>
        <w:t>Disponibil</w:t>
      </w:r>
      <w:proofErr w:type="spellEnd"/>
      <w:r w:rsidRPr="00956C2B">
        <w:rPr>
          <w:rFonts w:ascii="Times New Roman" w:hAnsi="Times New Roman" w:cs="Times New Roman"/>
          <w:i/>
          <w:iCs/>
          <w:kern w:val="2"/>
          <w:sz w:val="16"/>
          <w:szCs w:val="16"/>
          <w14:ligatures w14:val="standardContextual"/>
        </w:rPr>
        <w:t>:</w:t>
      </w:r>
    </w:p>
    <w:p w:rsidR="003F5D83" w:rsidRPr="00956C2B" w:rsidRDefault="00835535" w:rsidP="003F5D83">
      <w:pPr>
        <w:tabs>
          <w:tab w:val="left" w:pos="9356"/>
        </w:tabs>
        <w:spacing w:after="0" w:line="240" w:lineRule="auto"/>
        <w:ind w:right="-22"/>
        <w:jc w:val="both"/>
        <w:rPr>
          <w:rFonts w:ascii="Times New Roman" w:hAnsi="Times New Roman" w:cs="Times New Roman"/>
          <w:i/>
          <w:iCs/>
          <w:kern w:val="2"/>
          <w:sz w:val="16"/>
          <w:szCs w:val="16"/>
          <w14:ligatures w14:val="standardContextual"/>
        </w:rPr>
      </w:pPr>
      <w:hyperlink r:id="rId48" w:tgtFrame="_new" w:history="1">
        <w:r w:rsidR="003F5D83" w:rsidRPr="00956C2B">
          <w:rPr>
            <w:rFonts w:ascii="Times New Roman" w:hAnsi="Times New Roman" w:cs="Times New Roman"/>
            <w:i/>
            <w:iCs/>
            <w:color w:val="0563C1" w:themeColor="hyperlink"/>
            <w:kern w:val="2"/>
            <w:sz w:val="16"/>
            <w:szCs w:val="16"/>
            <w:u w:val="single"/>
            <w14:ligatures w14:val="standardContextual"/>
          </w:rPr>
          <w:t>https://statbank.statistica.md/PxWeb/pxweb/ro/60%20Statistica%20regionala/60%20Statistica%20regionala__02%20POP/POP07070reg.px/</w:t>
        </w:r>
      </w:hyperlink>
    </w:p>
    <w:p w:rsidR="003F5D83" w:rsidRPr="00956C2B" w:rsidRDefault="003F5D83" w:rsidP="003F5D83">
      <w:pPr>
        <w:spacing w:after="0" w:line="240" w:lineRule="auto"/>
        <w:ind w:right="-22"/>
        <w:jc w:val="both"/>
        <w:rPr>
          <w:rFonts w:ascii="Times New Roman" w:hAnsi="Times New Roman" w:cs="Times New Roman"/>
          <w:i/>
          <w:iCs/>
          <w:kern w:val="2"/>
          <w:sz w:val="16"/>
          <w:szCs w:val="16"/>
          <w:lang w:val="ru-RU"/>
          <w14:ligatures w14:val="standardContextual"/>
        </w:rPr>
      </w:pPr>
      <w:r w:rsidRPr="00956C2B">
        <w:rPr>
          <w:rFonts w:ascii="Times New Roman" w:hAnsi="Times New Roman" w:cs="Times New Roman"/>
          <w:i/>
          <w:iCs/>
          <w:kern w:val="2"/>
          <w:sz w:val="16"/>
          <w:szCs w:val="16"/>
          <w:lang w:val="ru-RU"/>
          <w14:ligatures w14:val="standardContextual"/>
        </w:rPr>
        <w:t xml:space="preserve">*Примечание: по состоянию на дату обращения актуальные официальные статистические данные в базе </w:t>
      </w:r>
      <w:proofErr w:type="spellStart"/>
      <w:r w:rsidRPr="00956C2B">
        <w:rPr>
          <w:rFonts w:ascii="Times New Roman" w:hAnsi="Times New Roman" w:cs="Times New Roman"/>
          <w:i/>
          <w:iCs/>
          <w:kern w:val="2"/>
          <w:sz w:val="16"/>
          <w:szCs w:val="16"/>
          <w14:ligatures w14:val="standardContextual"/>
        </w:rPr>
        <w:t>StatBank</w:t>
      </w:r>
      <w:proofErr w:type="spellEnd"/>
      <w:r w:rsidRPr="00956C2B">
        <w:rPr>
          <w:rFonts w:ascii="Times New Roman" w:hAnsi="Times New Roman" w:cs="Times New Roman"/>
          <w:i/>
          <w:iCs/>
          <w:kern w:val="2"/>
          <w:sz w:val="16"/>
          <w:szCs w:val="16"/>
          <w:lang w:val="ru-RU"/>
          <w14:ligatures w14:val="standardContextual"/>
        </w:rPr>
        <w:t xml:space="preserve"> ограничены периодом до 2023 года включительно.</w:t>
      </w:r>
    </w:p>
    <w:p w:rsidR="00521AC7" w:rsidRDefault="00521AC7"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Анализ внешней миграции населения Республики Молдова за 2019–2023 гг. свидетельствует о преобладании эмиграции над иммиграцией. В 2023 году по стране число эмигрантов (130 084 человек) превышает число иммигрантов (97 517 человек) на 32 567 человек или на 33,4%.</w:t>
      </w:r>
    </w:p>
    <w:p w:rsidR="00BD6565" w:rsidRPr="00226936" w:rsidRDefault="00BD6565" w:rsidP="003F5D83">
      <w:pPr>
        <w:spacing w:after="0" w:line="240" w:lineRule="auto"/>
        <w:ind w:firstLine="709"/>
        <w:jc w:val="both"/>
        <w:rPr>
          <w:rFonts w:ascii="Times New Roman" w:hAnsi="Times New Roman" w:cs="Times New Roman"/>
          <w:kern w:val="2"/>
          <w:sz w:val="24"/>
          <w:szCs w:val="24"/>
          <w:lang w:val="ru-RU"/>
          <w14:ligatures w14:val="standardContextual"/>
        </w:rPr>
      </w:pPr>
    </w:p>
    <w:p w:rsidR="003F5D83" w:rsidRPr="00226936"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В АТО Гагаузия также наблюдается отрицательное сальдо внешней миграции: в 2023 году число эмигрантов составило 6 112 человек, что на 1 618 человек (или на 36,0%) превышает число иммигрантов (4 494 человека). В 2022 году разрыв был ещё более значительным: эмиграция превышала иммиграцию на 1 828 человек или 20,1%. Исключением является 2020 год, когда показатели были практически сбалансированы.</w:t>
      </w:r>
    </w:p>
    <w:p w:rsidR="003F5D83" w:rsidRPr="00FA3A78" w:rsidRDefault="003F5D83" w:rsidP="003F5D83">
      <w:pPr>
        <w:spacing w:after="0" w:line="240" w:lineRule="auto"/>
        <w:ind w:firstLine="709"/>
        <w:jc w:val="both"/>
        <w:rPr>
          <w:rFonts w:ascii="Times New Roman" w:hAnsi="Times New Roman" w:cs="Times New Roman"/>
          <w:kern w:val="2"/>
          <w:sz w:val="24"/>
          <w:szCs w:val="24"/>
          <w:lang w:val="ru-RU"/>
          <w14:ligatures w14:val="standardContextual"/>
        </w:rPr>
      </w:pPr>
      <w:r w:rsidRPr="00226936">
        <w:rPr>
          <w:rFonts w:ascii="Times New Roman" w:hAnsi="Times New Roman" w:cs="Times New Roman"/>
          <w:kern w:val="2"/>
          <w:sz w:val="24"/>
          <w:szCs w:val="24"/>
          <w:lang w:val="ru-RU"/>
          <w14:ligatures w14:val="standardContextual"/>
        </w:rPr>
        <w:t>По сравнению с другими регионами, доля АТО Гагаузия в общем объёме миграции остаётся относительно невысокой: в 2023 году на неё приходится около 4,6% всех иммигрантов и 4,7% эмигрантов страны. При этом по интенсивности оттока регион сопоставим с регионом Юг, где превышение эмиграции над иммиграцией составляет около 37,4%.</w:t>
      </w:r>
    </w:p>
    <w:p w:rsidR="003F5D83" w:rsidRDefault="003F5D83" w:rsidP="003F5D83">
      <w:pPr>
        <w:spacing w:after="0" w:line="240" w:lineRule="auto"/>
        <w:ind w:firstLine="709"/>
        <w:jc w:val="both"/>
        <w:rPr>
          <w:rFonts w:ascii="Times New Roman" w:hAnsi="Times New Roman" w:cs="Times New Roman"/>
          <w:sz w:val="24"/>
          <w:szCs w:val="24"/>
          <w:lang w:val="ru-RU"/>
        </w:rPr>
      </w:pPr>
      <w:r w:rsidRPr="00FA3A78">
        <w:rPr>
          <w:rFonts w:ascii="Times New Roman" w:hAnsi="Times New Roman" w:cs="Times New Roman"/>
          <w:sz w:val="24"/>
          <w:szCs w:val="24"/>
          <w:lang w:val="ru-RU"/>
        </w:rPr>
        <w:t>Дополнительный анализ внешней миграции по полу позволяет выявить особенности участия мужчин и женщин в миграционных процессах и уточнить характер оттока населения.</w:t>
      </w:r>
    </w:p>
    <w:p w:rsidR="003F5D83" w:rsidRPr="00303249" w:rsidRDefault="003F5D83" w:rsidP="003F5D83">
      <w:pPr>
        <w:spacing w:after="0" w:line="240" w:lineRule="auto"/>
        <w:jc w:val="center"/>
        <w:rPr>
          <w:rFonts w:ascii="Times New Roman" w:eastAsia="Times New Roman" w:hAnsi="Times New Roman" w:cs="Times New Roman"/>
          <w:b/>
          <w:bCs/>
          <w:caps/>
          <w:sz w:val="24"/>
          <w:szCs w:val="24"/>
          <w:lang w:val="ru-RU"/>
        </w:rPr>
      </w:pPr>
      <w:r w:rsidRPr="00937434">
        <w:rPr>
          <w:rFonts w:ascii="Times New Roman" w:hAnsi="Times New Roman" w:cs="Times New Roman"/>
          <w:b/>
          <w:bCs/>
          <w:sz w:val="24"/>
          <w:szCs w:val="24"/>
          <w:lang w:val="ru-RU"/>
        </w:rPr>
        <w:t>Таблица 2.25. Внешняя миграция населения по регионам Республики Молдова по полу, 2019–2023 гг., тыс. человек</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37"/>
        <w:gridCol w:w="426"/>
        <w:gridCol w:w="426"/>
        <w:gridCol w:w="426"/>
        <w:gridCol w:w="426"/>
        <w:gridCol w:w="426"/>
        <w:gridCol w:w="426"/>
        <w:gridCol w:w="439"/>
        <w:gridCol w:w="430"/>
        <w:gridCol w:w="430"/>
        <w:gridCol w:w="430"/>
        <w:gridCol w:w="430"/>
        <w:gridCol w:w="426"/>
        <w:gridCol w:w="490"/>
        <w:gridCol w:w="243"/>
        <w:gridCol w:w="243"/>
        <w:gridCol w:w="486"/>
        <w:gridCol w:w="213"/>
        <w:gridCol w:w="213"/>
        <w:gridCol w:w="490"/>
        <w:gridCol w:w="213"/>
        <w:gridCol w:w="213"/>
        <w:gridCol w:w="438"/>
      </w:tblGrid>
      <w:tr w:rsidR="003F5D83" w:rsidRPr="00A04C6E" w:rsidTr="00521AC7">
        <w:trPr>
          <w:trHeight w:val="325"/>
        </w:trPr>
        <w:tc>
          <w:tcPr>
            <w:tcW w:w="863" w:type="dxa"/>
            <w:vMerge w:val="restart"/>
            <w:vAlign w:val="center"/>
            <w:hideMark/>
          </w:tcPr>
          <w:p w:rsidR="003F5D83" w:rsidRPr="001F5670" w:rsidRDefault="003F5D83" w:rsidP="003F5D83">
            <w:pPr>
              <w:jc w:val="cente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Регион</w:t>
            </w:r>
          </w:p>
        </w:tc>
        <w:tc>
          <w:tcPr>
            <w:tcW w:w="1735" w:type="dxa"/>
            <w:gridSpan w:val="4"/>
            <w:vAlign w:val="center"/>
            <w:hideMark/>
          </w:tcPr>
          <w:p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2019</w:t>
            </w:r>
          </w:p>
        </w:tc>
        <w:tc>
          <w:tcPr>
            <w:tcW w:w="1738" w:type="dxa"/>
            <w:gridSpan w:val="4"/>
            <w:vAlign w:val="center"/>
            <w:hideMark/>
          </w:tcPr>
          <w:p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2020</w:t>
            </w:r>
          </w:p>
        </w:tc>
        <w:tc>
          <w:tcPr>
            <w:tcW w:w="1723" w:type="dxa"/>
            <w:gridSpan w:val="5"/>
            <w:vAlign w:val="center"/>
            <w:hideMark/>
          </w:tcPr>
          <w:p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2021</w:t>
            </w:r>
          </w:p>
        </w:tc>
        <w:tc>
          <w:tcPr>
            <w:tcW w:w="0" w:type="auto"/>
            <w:gridSpan w:val="5"/>
            <w:vAlign w:val="center"/>
            <w:hideMark/>
          </w:tcPr>
          <w:p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2022</w:t>
            </w:r>
          </w:p>
        </w:tc>
        <w:tc>
          <w:tcPr>
            <w:tcW w:w="1735" w:type="dxa"/>
            <w:gridSpan w:val="5"/>
            <w:vAlign w:val="center"/>
            <w:hideMark/>
          </w:tcPr>
          <w:p w:rsidR="003F5D83" w:rsidRPr="001F5670" w:rsidRDefault="003F5D83" w:rsidP="003F5D83">
            <w:pPr>
              <w:jc w:val="center"/>
              <w:rPr>
                <w:rFonts w:ascii="Times New Roman" w:hAnsi="Times New Roman" w:cs="Times New Roman"/>
                <w:b/>
                <w:bCs/>
                <w:sz w:val="16"/>
                <w:szCs w:val="16"/>
              </w:rPr>
            </w:pPr>
            <w:r w:rsidRPr="001F5670">
              <w:rPr>
                <w:rFonts w:ascii="Times New Roman" w:hAnsi="Times New Roman" w:cs="Times New Roman"/>
                <w:b/>
                <w:bCs/>
                <w:sz w:val="16"/>
                <w:szCs w:val="16"/>
              </w:rPr>
              <w:t>2023</w:t>
            </w:r>
          </w:p>
        </w:tc>
      </w:tr>
      <w:tr w:rsidR="003F5D83" w:rsidRPr="00A04C6E" w:rsidTr="00521AC7">
        <w:trPr>
          <w:trHeight w:val="209"/>
        </w:trPr>
        <w:tc>
          <w:tcPr>
            <w:tcW w:w="863" w:type="dxa"/>
            <w:vMerge/>
            <w:hideMark/>
          </w:tcPr>
          <w:p w:rsidR="003F5D83" w:rsidRPr="001F5670" w:rsidRDefault="003F5D83" w:rsidP="003F5D83">
            <w:pPr>
              <w:rPr>
                <w:rFonts w:ascii="Times New Roman" w:hAnsi="Times New Roman" w:cs="Times New Roman"/>
                <w:b/>
                <w:bCs/>
                <w:sz w:val="16"/>
                <w:szCs w:val="16"/>
              </w:rPr>
            </w:pPr>
          </w:p>
        </w:tc>
        <w:tc>
          <w:tcPr>
            <w:tcW w:w="875" w:type="dxa"/>
            <w:gridSpan w:val="2"/>
            <w:hideMark/>
          </w:tcPr>
          <w:p w:rsidR="003F5D83" w:rsidRPr="001F5670" w:rsidRDefault="003F5D83" w:rsidP="003F5D83">
            <w:pP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Им.</w:t>
            </w:r>
          </w:p>
        </w:tc>
        <w:tc>
          <w:tcPr>
            <w:tcW w:w="0" w:type="auto"/>
            <w:gridSpan w:val="2"/>
            <w:hideMark/>
          </w:tcPr>
          <w:p w:rsidR="003F5D83" w:rsidRPr="001F5670" w:rsidRDefault="003F5D83" w:rsidP="003F5D83">
            <w:pP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Эм</w:t>
            </w:r>
          </w:p>
        </w:tc>
        <w:tc>
          <w:tcPr>
            <w:tcW w:w="0" w:type="auto"/>
            <w:gridSpan w:val="2"/>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Им.</w:t>
            </w:r>
          </w:p>
        </w:tc>
        <w:tc>
          <w:tcPr>
            <w:tcW w:w="872" w:type="dxa"/>
            <w:gridSpan w:val="2"/>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Эм</w:t>
            </w:r>
          </w:p>
        </w:tc>
        <w:tc>
          <w:tcPr>
            <w:tcW w:w="861" w:type="dxa"/>
            <w:gridSpan w:val="2"/>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Им.</w:t>
            </w:r>
          </w:p>
        </w:tc>
        <w:tc>
          <w:tcPr>
            <w:tcW w:w="861" w:type="dxa"/>
            <w:gridSpan w:val="3"/>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Эм</w:t>
            </w:r>
          </w:p>
        </w:tc>
        <w:tc>
          <w:tcPr>
            <w:tcW w:w="0" w:type="auto"/>
            <w:gridSpan w:val="2"/>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Им.</w:t>
            </w:r>
          </w:p>
        </w:tc>
        <w:tc>
          <w:tcPr>
            <w:tcW w:w="0" w:type="auto"/>
            <w:gridSpan w:val="3"/>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Эм</w:t>
            </w:r>
          </w:p>
        </w:tc>
        <w:tc>
          <w:tcPr>
            <w:tcW w:w="0" w:type="auto"/>
            <w:gridSpan w:val="3"/>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Им.</w:t>
            </w:r>
          </w:p>
        </w:tc>
        <w:tc>
          <w:tcPr>
            <w:tcW w:w="870" w:type="dxa"/>
            <w:gridSpan w:val="2"/>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Эм</w:t>
            </w:r>
          </w:p>
        </w:tc>
      </w:tr>
      <w:tr w:rsidR="003F5D83" w:rsidRPr="00A04C6E" w:rsidTr="00521AC7">
        <w:trPr>
          <w:trHeight w:val="209"/>
        </w:trPr>
        <w:tc>
          <w:tcPr>
            <w:tcW w:w="863" w:type="dxa"/>
            <w:vMerge/>
            <w:hideMark/>
          </w:tcPr>
          <w:p w:rsidR="003F5D83" w:rsidRPr="001F5670" w:rsidRDefault="003F5D83" w:rsidP="003F5D83">
            <w:pPr>
              <w:rPr>
                <w:rFonts w:ascii="Times New Roman" w:hAnsi="Times New Roman" w:cs="Times New Roman"/>
                <w:b/>
                <w:bCs/>
                <w:sz w:val="16"/>
                <w:szCs w:val="16"/>
              </w:rPr>
            </w:pPr>
          </w:p>
        </w:tc>
        <w:tc>
          <w:tcPr>
            <w:tcW w:w="437" w:type="dxa"/>
            <w:hideMark/>
          </w:tcPr>
          <w:p w:rsidR="003F5D83" w:rsidRPr="001F5670" w:rsidRDefault="003F5D83" w:rsidP="003F5D83">
            <w:pPr>
              <w:rPr>
                <w:rFonts w:ascii="Times New Roman" w:hAnsi="Times New Roman" w:cs="Times New Roman"/>
                <w:b/>
                <w:bCs/>
                <w:sz w:val="16"/>
                <w:szCs w:val="16"/>
                <w:lang w:val="ru-RU"/>
              </w:rPr>
            </w:pPr>
            <w:r w:rsidRPr="001F5670">
              <w:rPr>
                <w:rFonts w:ascii="Times New Roman" w:hAnsi="Times New Roman" w:cs="Times New Roman"/>
                <w:b/>
                <w:bCs/>
                <w:sz w:val="16"/>
                <w:szCs w:val="16"/>
              </w:rPr>
              <w:t>M</w:t>
            </w:r>
          </w:p>
        </w:tc>
        <w:tc>
          <w:tcPr>
            <w:tcW w:w="0" w:type="auto"/>
            <w:hideMark/>
          </w:tcPr>
          <w:p w:rsidR="003F5D83" w:rsidRPr="001F5670" w:rsidRDefault="003F5D83" w:rsidP="003F5D83">
            <w:pP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Ж</w:t>
            </w:r>
          </w:p>
        </w:tc>
        <w:tc>
          <w:tcPr>
            <w:tcW w:w="0" w:type="auto"/>
            <w:hideMark/>
          </w:tcPr>
          <w:p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rsidR="003F5D83" w:rsidRPr="001F5670" w:rsidRDefault="003F5D83" w:rsidP="003F5D83">
            <w:pPr>
              <w:rPr>
                <w:rFonts w:ascii="Times New Roman" w:hAnsi="Times New Roman" w:cs="Times New Roman"/>
                <w:b/>
                <w:bCs/>
                <w:sz w:val="16"/>
                <w:szCs w:val="16"/>
                <w:lang w:val="ru-RU"/>
              </w:rPr>
            </w:pPr>
            <w:r w:rsidRPr="00A04C6E">
              <w:rPr>
                <w:rFonts w:ascii="Times New Roman" w:hAnsi="Times New Roman" w:cs="Times New Roman"/>
                <w:b/>
                <w:bCs/>
                <w:sz w:val="16"/>
                <w:szCs w:val="16"/>
                <w:lang w:val="ru-RU"/>
              </w:rPr>
              <w:t>Ж</w:t>
            </w:r>
          </w:p>
        </w:tc>
        <w:tc>
          <w:tcPr>
            <w:tcW w:w="0" w:type="auto"/>
            <w:hideMark/>
          </w:tcPr>
          <w:p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hideMark/>
          </w:tcPr>
          <w:p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439" w:type="dxa"/>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430" w:type="dxa"/>
            <w:hideMark/>
          </w:tcPr>
          <w:p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430" w:type="dxa"/>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430" w:type="dxa"/>
            <w:hideMark/>
          </w:tcPr>
          <w:p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430" w:type="dxa"/>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hideMark/>
          </w:tcPr>
          <w:p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gridSpan w:val="2"/>
            <w:hideMark/>
          </w:tcPr>
          <w:p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gridSpan w:val="2"/>
            <w:hideMark/>
          </w:tcPr>
          <w:p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0" w:type="auto"/>
            <w:hideMark/>
          </w:tcPr>
          <w:p w:rsidR="003F5D83" w:rsidRPr="001F5670" w:rsidRDefault="003F5D83" w:rsidP="003F5D83">
            <w:pPr>
              <w:rPr>
                <w:rFonts w:ascii="Times New Roman" w:hAnsi="Times New Roman" w:cs="Times New Roman"/>
                <w:b/>
                <w:bCs/>
                <w:sz w:val="16"/>
                <w:szCs w:val="16"/>
              </w:rPr>
            </w:pPr>
            <w:r w:rsidRPr="00A04C6E">
              <w:rPr>
                <w:rFonts w:ascii="Times New Roman" w:hAnsi="Times New Roman" w:cs="Times New Roman"/>
                <w:b/>
                <w:bCs/>
                <w:sz w:val="16"/>
                <w:szCs w:val="16"/>
                <w:lang w:val="ru-RU"/>
              </w:rPr>
              <w:t>Ж</w:t>
            </w:r>
          </w:p>
        </w:tc>
        <w:tc>
          <w:tcPr>
            <w:tcW w:w="0" w:type="auto"/>
            <w:gridSpan w:val="2"/>
            <w:hideMark/>
          </w:tcPr>
          <w:p w:rsidR="003F5D83" w:rsidRPr="001F5670" w:rsidRDefault="003F5D83" w:rsidP="003F5D83">
            <w:pPr>
              <w:rPr>
                <w:rFonts w:ascii="Times New Roman" w:hAnsi="Times New Roman" w:cs="Times New Roman"/>
                <w:b/>
                <w:bCs/>
                <w:sz w:val="16"/>
                <w:szCs w:val="16"/>
              </w:rPr>
            </w:pPr>
            <w:r w:rsidRPr="001F5670">
              <w:rPr>
                <w:rFonts w:ascii="Times New Roman" w:hAnsi="Times New Roman" w:cs="Times New Roman"/>
                <w:b/>
                <w:bCs/>
                <w:sz w:val="16"/>
                <w:szCs w:val="16"/>
              </w:rPr>
              <w:t>M</w:t>
            </w:r>
          </w:p>
        </w:tc>
        <w:tc>
          <w:tcPr>
            <w:tcW w:w="438" w:type="dxa"/>
            <w:hideMark/>
          </w:tcPr>
          <w:p w:rsidR="003F5D83" w:rsidRPr="0010798B" w:rsidRDefault="003F5D83" w:rsidP="003F5D83">
            <w:pPr>
              <w:rPr>
                <w:rFonts w:ascii="Times New Roman" w:hAnsi="Times New Roman" w:cs="Times New Roman"/>
                <w:b/>
                <w:bCs/>
                <w:sz w:val="16"/>
                <w:szCs w:val="16"/>
                <w:lang w:val="ru-RU"/>
              </w:rPr>
            </w:pPr>
            <w:r>
              <w:rPr>
                <w:rFonts w:ascii="Times New Roman" w:hAnsi="Times New Roman" w:cs="Times New Roman"/>
                <w:b/>
                <w:bCs/>
                <w:sz w:val="16"/>
                <w:szCs w:val="16"/>
                <w:lang w:val="ru-RU"/>
              </w:rPr>
              <w:t>Ж</w:t>
            </w:r>
          </w:p>
        </w:tc>
      </w:tr>
      <w:tr w:rsidR="003F5D83" w:rsidRPr="00A04C6E" w:rsidTr="00521AC7">
        <w:trPr>
          <w:trHeight w:val="285"/>
        </w:trPr>
        <w:tc>
          <w:tcPr>
            <w:tcW w:w="863" w:type="dxa"/>
            <w:vAlign w:val="center"/>
            <w:hideMark/>
          </w:tcPr>
          <w:p w:rsidR="003F5D83" w:rsidRPr="001F5670" w:rsidRDefault="003F5D83" w:rsidP="003F5D83">
            <w:pPr>
              <w:rPr>
                <w:rFonts w:ascii="Times New Roman" w:hAnsi="Times New Roman" w:cs="Times New Roman"/>
                <w:b/>
                <w:bCs/>
                <w:sz w:val="16"/>
                <w:szCs w:val="16"/>
              </w:rPr>
            </w:pPr>
            <w:r w:rsidRPr="00226936">
              <w:rPr>
                <w:rFonts w:ascii="Times New Roman" w:eastAsia="Times New Roman" w:hAnsi="Times New Roman" w:cs="Times New Roman"/>
                <w:sz w:val="16"/>
                <w:szCs w:val="16"/>
                <w:lang w:val="ru-RU"/>
              </w:rPr>
              <w:t xml:space="preserve">Всего по стране </w:t>
            </w:r>
          </w:p>
        </w:tc>
        <w:tc>
          <w:tcPr>
            <w:tcW w:w="437"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64,1</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52,1</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81,3</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72,0</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35,7</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29,5</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39,4</w:t>
            </w:r>
          </w:p>
        </w:tc>
        <w:tc>
          <w:tcPr>
            <w:tcW w:w="439"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33,0</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36,1</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32,3</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62,7</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51,0</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80,2</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97,7</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120,4</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121,1</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52,7</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44,8</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72,1</w:t>
            </w:r>
          </w:p>
        </w:tc>
        <w:tc>
          <w:tcPr>
            <w:tcW w:w="438"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58,0</w:t>
            </w:r>
          </w:p>
        </w:tc>
      </w:tr>
      <w:tr w:rsidR="003F5D83" w:rsidRPr="00A04C6E" w:rsidTr="00521AC7">
        <w:trPr>
          <w:trHeight w:val="203"/>
        </w:trPr>
        <w:tc>
          <w:tcPr>
            <w:tcW w:w="863" w:type="dxa"/>
            <w:vAlign w:val="center"/>
            <w:hideMark/>
          </w:tcPr>
          <w:p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w:t>
            </w:r>
            <w:proofErr w:type="spellStart"/>
            <w:r w:rsidRPr="00226936">
              <w:rPr>
                <w:rFonts w:ascii="Times New Roman" w:hAnsi="Times New Roman" w:cs="Times New Roman"/>
                <w:kern w:val="2"/>
                <w:sz w:val="16"/>
                <w:szCs w:val="16"/>
                <w14:ligatures w14:val="standardContextual"/>
              </w:rPr>
              <w:t>Кишинев</w:t>
            </w:r>
            <w:proofErr w:type="spellEnd"/>
          </w:p>
        </w:tc>
        <w:tc>
          <w:tcPr>
            <w:tcW w:w="437"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11,4</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11,0</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16,1</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16,5</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5,8</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5,8</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7,1</w:t>
            </w:r>
          </w:p>
        </w:tc>
        <w:tc>
          <w:tcPr>
            <w:tcW w:w="439"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7,1</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6,3</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6,7</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9,9</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10,0</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15,2</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20,0</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21,5</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25,0</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8,5</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9,0</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12,1</w:t>
            </w:r>
          </w:p>
        </w:tc>
        <w:tc>
          <w:tcPr>
            <w:tcW w:w="438"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11,3</w:t>
            </w:r>
          </w:p>
        </w:tc>
      </w:tr>
      <w:tr w:rsidR="003F5D83" w:rsidRPr="00A04C6E" w:rsidTr="00521AC7">
        <w:trPr>
          <w:trHeight w:val="285"/>
        </w:trPr>
        <w:tc>
          <w:tcPr>
            <w:tcW w:w="863" w:type="dxa"/>
            <w:vAlign w:val="center"/>
            <w:hideMark/>
          </w:tcPr>
          <w:p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w:t>
            </w:r>
            <w:proofErr w:type="spellStart"/>
            <w:r w:rsidRPr="00226936">
              <w:rPr>
                <w:rFonts w:ascii="Times New Roman" w:hAnsi="Times New Roman" w:cs="Times New Roman"/>
                <w:kern w:val="2"/>
                <w:sz w:val="16"/>
                <w:szCs w:val="16"/>
                <w14:ligatures w14:val="standardContextual"/>
              </w:rPr>
              <w:t>Север</w:t>
            </w:r>
            <w:proofErr w:type="spellEnd"/>
          </w:p>
        </w:tc>
        <w:tc>
          <w:tcPr>
            <w:tcW w:w="437"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18,4</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13,9</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21,9</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19,2</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11,1</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8,6</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10,9</w:t>
            </w:r>
          </w:p>
        </w:tc>
        <w:tc>
          <w:tcPr>
            <w:tcW w:w="439"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9,1</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10,1</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8,5</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18,9</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15,4</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22,1</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26,7</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35,8</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36,0</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14,9</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12,5</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21,7</w:t>
            </w:r>
          </w:p>
        </w:tc>
        <w:tc>
          <w:tcPr>
            <w:tcW w:w="438"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17,4</w:t>
            </w:r>
          </w:p>
        </w:tc>
      </w:tr>
      <w:tr w:rsidR="003F5D83" w:rsidRPr="00A04C6E" w:rsidTr="00521AC7">
        <w:trPr>
          <w:trHeight w:val="362"/>
        </w:trPr>
        <w:tc>
          <w:tcPr>
            <w:tcW w:w="863" w:type="dxa"/>
            <w:vAlign w:val="center"/>
            <w:hideMark/>
          </w:tcPr>
          <w:p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w:t>
            </w:r>
            <w:proofErr w:type="spellStart"/>
            <w:r w:rsidRPr="00226936">
              <w:rPr>
                <w:rFonts w:ascii="Times New Roman" w:hAnsi="Times New Roman" w:cs="Times New Roman"/>
                <w:kern w:val="2"/>
                <w:sz w:val="16"/>
                <w:szCs w:val="16"/>
                <w14:ligatures w14:val="standardContextual"/>
              </w:rPr>
              <w:t>Центр</w:t>
            </w:r>
            <w:proofErr w:type="spellEnd"/>
          </w:p>
        </w:tc>
        <w:tc>
          <w:tcPr>
            <w:tcW w:w="437"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20,9</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15,9</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27,0</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22,3</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11,4</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8,6</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13,2</w:t>
            </w:r>
          </w:p>
        </w:tc>
        <w:tc>
          <w:tcPr>
            <w:tcW w:w="439"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10,3</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11,8</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10,1</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20,3</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15,1</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25,6</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29,9</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38,1</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35,4</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18,4</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14,3</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23,1</w:t>
            </w:r>
          </w:p>
        </w:tc>
        <w:tc>
          <w:tcPr>
            <w:tcW w:w="438"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17,1</w:t>
            </w:r>
          </w:p>
        </w:tc>
      </w:tr>
      <w:tr w:rsidR="003F5D83" w:rsidRPr="00A04C6E" w:rsidTr="00521AC7">
        <w:trPr>
          <w:trHeight w:val="308"/>
        </w:trPr>
        <w:tc>
          <w:tcPr>
            <w:tcW w:w="863" w:type="dxa"/>
            <w:vAlign w:val="center"/>
            <w:hideMark/>
          </w:tcPr>
          <w:p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w:t>
            </w:r>
            <w:proofErr w:type="spellStart"/>
            <w:r w:rsidRPr="00226936">
              <w:rPr>
                <w:rFonts w:ascii="Times New Roman" w:hAnsi="Times New Roman" w:cs="Times New Roman"/>
                <w:kern w:val="2"/>
                <w:sz w:val="16"/>
                <w:szCs w:val="16"/>
                <w14:ligatures w14:val="standardContextual"/>
              </w:rPr>
              <w:t>Юг</w:t>
            </w:r>
            <w:proofErr w:type="spellEnd"/>
          </w:p>
        </w:tc>
        <w:tc>
          <w:tcPr>
            <w:tcW w:w="437"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10,4</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8,3</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13,1</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11,4</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5,8</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4,8</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6,4</w:t>
            </w:r>
          </w:p>
        </w:tc>
        <w:tc>
          <w:tcPr>
            <w:tcW w:w="439"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5,1</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6,1</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5,3</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10,5</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8,0</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13,3</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16,1</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19,5</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19,2</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8,5</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7,0</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12,0</w:t>
            </w:r>
          </w:p>
        </w:tc>
        <w:tc>
          <w:tcPr>
            <w:tcW w:w="438"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9,3</w:t>
            </w:r>
          </w:p>
        </w:tc>
      </w:tr>
      <w:tr w:rsidR="003F5D83" w:rsidRPr="00A04C6E" w:rsidTr="00521AC7">
        <w:trPr>
          <w:trHeight w:val="238"/>
        </w:trPr>
        <w:tc>
          <w:tcPr>
            <w:tcW w:w="863" w:type="dxa"/>
            <w:vAlign w:val="center"/>
            <w:hideMark/>
          </w:tcPr>
          <w:p w:rsidR="003F5D83" w:rsidRPr="001F5670" w:rsidRDefault="003F5D83" w:rsidP="003F5D83">
            <w:pPr>
              <w:rPr>
                <w:rFonts w:ascii="Times New Roman" w:hAnsi="Times New Roman" w:cs="Times New Roman"/>
                <w:b/>
                <w:bCs/>
                <w:sz w:val="16"/>
                <w:szCs w:val="16"/>
              </w:rPr>
            </w:pPr>
            <w:r w:rsidRPr="00226936">
              <w:rPr>
                <w:rFonts w:ascii="Times New Roman" w:hAnsi="Times New Roman" w:cs="Times New Roman"/>
                <w:kern w:val="2"/>
                <w:sz w:val="16"/>
                <w:szCs w:val="16"/>
                <w14:ligatures w14:val="standardContextual"/>
              </w:rPr>
              <w:t xml:space="preserve">РР АТО </w:t>
            </w:r>
            <w:proofErr w:type="spellStart"/>
            <w:r w:rsidRPr="00226936">
              <w:rPr>
                <w:rFonts w:ascii="Times New Roman" w:hAnsi="Times New Roman" w:cs="Times New Roman"/>
                <w:kern w:val="2"/>
                <w:sz w:val="16"/>
                <w:szCs w:val="16"/>
                <w14:ligatures w14:val="standardContextual"/>
              </w:rPr>
              <w:t>Гагаузия</w:t>
            </w:r>
            <w:proofErr w:type="spellEnd"/>
          </w:p>
        </w:tc>
        <w:tc>
          <w:tcPr>
            <w:tcW w:w="437"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3,1</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2,9</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3,2</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2,6</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1,6</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w:t>
            </w:r>
          </w:p>
        </w:tc>
        <w:tc>
          <w:tcPr>
            <w:tcW w:w="439"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1,4</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1,8</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3,2</w:t>
            </w:r>
          </w:p>
        </w:tc>
        <w:tc>
          <w:tcPr>
            <w:tcW w:w="430"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2,5</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4,0</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5,1</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5,5</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5,5</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2,4</w:t>
            </w:r>
          </w:p>
        </w:tc>
        <w:tc>
          <w:tcPr>
            <w:tcW w:w="0" w:type="auto"/>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2,1</w:t>
            </w:r>
          </w:p>
        </w:tc>
        <w:tc>
          <w:tcPr>
            <w:tcW w:w="0" w:type="auto"/>
            <w:gridSpan w:val="2"/>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3,3</w:t>
            </w:r>
          </w:p>
        </w:tc>
        <w:tc>
          <w:tcPr>
            <w:tcW w:w="438" w:type="dxa"/>
            <w:noWrap/>
            <w:vAlign w:val="center"/>
            <w:hideMark/>
          </w:tcPr>
          <w:p w:rsidR="003F5D83" w:rsidRPr="001F5670" w:rsidRDefault="003F5D83" w:rsidP="003F5D83">
            <w:pPr>
              <w:jc w:val="center"/>
              <w:rPr>
                <w:rFonts w:ascii="Times New Roman" w:hAnsi="Times New Roman" w:cs="Times New Roman"/>
                <w:b/>
                <w:bCs/>
                <w:sz w:val="12"/>
                <w:szCs w:val="12"/>
              </w:rPr>
            </w:pPr>
            <w:r w:rsidRPr="00ED6FD6">
              <w:rPr>
                <w:rFonts w:ascii="Times New Roman" w:eastAsia="Times New Roman" w:hAnsi="Times New Roman" w:cs="Times New Roman"/>
                <w:b/>
                <w:bCs/>
                <w:caps/>
                <w:sz w:val="12"/>
                <w:szCs w:val="12"/>
              </w:rPr>
              <w:t>2,8</w:t>
            </w:r>
          </w:p>
        </w:tc>
      </w:tr>
    </w:tbl>
    <w:p w:rsidR="003F5D83" w:rsidRDefault="003F5D83" w:rsidP="003F5D83">
      <w:pPr>
        <w:spacing w:after="0" w:line="240" w:lineRule="auto"/>
        <w:jc w:val="both"/>
        <w:rPr>
          <w:rFonts w:ascii="Times New Roman" w:hAnsi="Times New Roman" w:cs="Times New Roman"/>
          <w:i/>
          <w:iCs/>
          <w:color w:val="0000FF"/>
          <w:sz w:val="16"/>
          <w:szCs w:val="16"/>
          <w:u w:val="single"/>
        </w:rPr>
      </w:pPr>
      <w:proofErr w:type="spellStart"/>
      <w:r w:rsidRPr="00956C2B">
        <w:rPr>
          <w:rFonts w:ascii="Times New Roman" w:hAnsi="Times New Roman" w:cs="Times New Roman"/>
          <w:i/>
          <w:iCs/>
          <w:sz w:val="16"/>
          <w:szCs w:val="16"/>
        </w:rPr>
        <w:t>Источник</w:t>
      </w:r>
      <w:proofErr w:type="spellEnd"/>
      <w:r w:rsidRPr="00956C2B">
        <w:rPr>
          <w:rFonts w:ascii="Times New Roman" w:hAnsi="Times New Roman" w:cs="Times New Roman"/>
          <w:i/>
          <w:iCs/>
          <w:sz w:val="16"/>
          <w:szCs w:val="16"/>
        </w:rPr>
        <w:t xml:space="preserve">: Banca de date </w:t>
      </w:r>
      <w:proofErr w:type="spellStart"/>
      <w:r w:rsidRPr="00956C2B">
        <w:rPr>
          <w:rFonts w:ascii="Times New Roman" w:hAnsi="Times New Roman" w:cs="Times New Roman"/>
          <w:i/>
          <w:iCs/>
          <w:sz w:val="16"/>
          <w:szCs w:val="16"/>
        </w:rPr>
        <w:t>statistică</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StatBank</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Migrația</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populației</w:t>
      </w:r>
      <w:proofErr w:type="spellEnd"/>
      <w:r w:rsidRPr="00956C2B">
        <w:rPr>
          <w:rFonts w:ascii="Times New Roman" w:hAnsi="Times New Roman" w:cs="Times New Roman"/>
          <w:i/>
          <w:iCs/>
          <w:sz w:val="16"/>
          <w:szCs w:val="16"/>
        </w:rPr>
        <w:t xml:space="preserve"> pe </w:t>
      </w:r>
      <w:proofErr w:type="spellStart"/>
      <w:r w:rsidRPr="00956C2B">
        <w:rPr>
          <w:rFonts w:ascii="Times New Roman" w:hAnsi="Times New Roman" w:cs="Times New Roman"/>
          <w:i/>
          <w:iCs/>
          <w:sz w:val="16"/>
          <w:szCs w:val="16"/>
        </w:rPr>
        <w:t>regiuni</w:t>
      </w:r>
      <w:proofErr w:type="spellEnd"/>
      <w:r w:rsidRPr="00956C2B">
        <w:rPr>
          <w:rFonts w:ascii="Times New Roman" w:hAnsi="Times New Roman" w:cs="Times New Roman"/>
          <w:i/>
          <w:iCs/>
          <w:sz w:val="16"/>
          <w:szCs w:val="16"/>
        </w:rPr>
        <w:t xml:space="preserve"> de </w:t>
      </w:r>
      <w:proofErr w:type="spellStart"/>
      <w:r w:rsidRPr="00956C2B">
        <w:rPr>
          <w:rFonts w:ascii="Times New Roman" w:hAnsi="Times New Roman" w:cs="Times New Roman"/>
          <w:i/>
          <w:iCs/>
          <w:sz w:val="16"/>
          <w:szCs w:val="16"/>
        </w:rPr>
        <w:t>dezvoltare</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sexe</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și</w:t>
      </w:r>
      <w:proofErr w:type="spellEnd"/>
      <w:r w:rsidRPr="00956C2B">
        <w:rPr>
          <w:rFonts w:ascii="Times New Roman" w:hAnsi="Times New Roman" w:cs="Times New Roman"/>
          <w:i/>
          <w:iCs/>
          <w:sz w:val="16"/>
          <w:szCs w:val="16"/>
        </w:rPr>
        <w:t xml:space="preserve"> ani, 2019–2023 [</w:t>
      </w:r>
      <w:proofErr w:type="spellStart"/>
      <w:r w:rsidRPr="00956C2B">
        <w:rPr>
          <w:rFonts w:ascii="Times New Roman" w:hAnsi="Times New Roman" w:cs="Times New Roman"/>
          <w:i/>
          <w:iCs/>
          <w:sz w:val="16"/>
          <w:szCs w:val="16"/>
        </w:rPr>
        <w:t>resursă</w:t>
      </w:r>
      <w:proofErr w:type="spellEnd"/>
      <w:r w:rsidRPr="00956C2B">
        <w:rPr>
          <w:rFonts w:ascii="Times New Roman" w:hAnsi="Times New Roman" w:cs="Times New Roman"/>
          <w:i/>
          <w:iCs/>
          <w:sz w:val="16"/>
          <w:szCs w:val="16"/>
        </w:rPr>
        <w:t xml:space="preserve"> </w:t>
      </w:r>
      <w:proofErr w:type="spellStart"/>
      <w:r w:rsidRPr="00956C2B">
        <w:rPr>
          <w:rFonts w:ascii="Times New Roman" w:hAnsi="Times New Roman" w:cs="Times New Roman"/>
          <w:i/>
          <w:iCs/>
          <w:sz w:val="16"/>
          <w:szCs w:val="16"/>
        </w:rPr>
        <w:t>electronică</w:t>
      </w:r>
      <w:proofErr w:type="spellEnd"/>
      <w:r w:rsidRPr="00956C2B">
        <w:rPr>
          <w:rFonts w:ascii="Times New Roman" w:hAnsi="Times New Roman" w:cs="Times New Roman"/>
          <w:i/>
          <w:iCs/>
          <w:sz w:val="16"/>
          <w:szCs w:val="16"/>
        </w:rPr>
        <w:t xml:space="preserve">]. – </w:t>
      </w:r>
      <w:proofErr w:type="spellStart"/>
      <w:r w:rsidRPr="00956C2B">
        <w:rPr>
          <w:rFonts w:ascii="Times New Roman" w:hAnsi="Times New Roman" w:cs="Times New Roman"/>
          <w:i/>
          <w:iCs/>
          <w:sz w:val="16"/>
          <w:szCs w:val="16"/>
        </w:rPr>
        <w:t>Disponibil</w:t>
      </w:r>
      <w:proofErr w:type="spellEnd"/>
      <w:r w:rsidRPr="00956C2B">
        <w:rPr>
          <w:rFonts w:ascii="Times New Roman" w:hAnsi="Times New Roman" w:cs="Times New Roman"/>
          <w:i/>
          <w:iCs/>
          <w:sz w:val="16"/>
          <w:szCs w:val="16"/>
        </w:rPr>
        <w:t xml:space="preserve">: </w:t>
      </w:r>
      <w:hyperlink r:id="rId49" w:tgtFrame="_blank" w:history="1">
        <w:proofErr w:type="spellStart"/>
        <w:r w:rsidRPr="00956C2B">
          <w:rPr>
            <w:rFonts w:ascii="Times New Roman" w:hAnsi="Times New Roman" w:cs="Times New Roman"/>
            <w:i/>
            <w:iCs/>
            <w:color w:val="0000FF"/>
            <w:sz w:val="16"/>
            <w:szCs w:val="16"/>
            <w:u w:val="single"/>
          </w:rPr>
          <w:t>StatBank</w:t>
        </w:r>
        <w:proofErr w:type="spellEnd"/>
        <w:r w:rsidRPr="00956C2B">
          <w:rPr>
            <w:rFonts w:ascii="Times New Roman" w:hAnsi="Times New Roman" w:cs="Times New Roman"/>
            <w:i/>
            <w:iCs/>
            <w:color w:val="0000FF"/>
            <w:sz w:val="16"/>
            <w:szCs w:val="16"/>
            <w:u w:val="single"/>
          </w:rPr>
          <w:t xml:space="preserve"> </w:t>
        </w:r>
        <w:proofErr w:type="spellStart"/>
        <w:r w:rsidRPr="00956C2B">
          <w:rPr>
            <w:rFonts w:ascii="Times New Roman" w:hAnsi="Times New Roman" w:cs="Times New Roman"/>
            <w:i/>
            <w:iCs/>
            <w:color w:val="0000FF"/>
            <w:sz w:val="16"/>
            <w:szCs w:val="16"/>
            <w:u w:val="single"/>
          </w:rPr>
          <w:t>tabel</w:t>
        </w:r>
        <w:proofErr w:type="spellEnd"/>
      </w:hyperlink>
    </w:p>
    <w:p w:rsidR="00521AC7" w:rsidRPr="00F03094" w:rsidRDefault="00521AC7" w:rsidP="003F5D83">
      <w:pPr>
        <w:spacing w:after="0" w:line="240" w:lineRule="auto"/>
        <w:jc w:val="both"/>
        <w:rPr>
          <w:rFonts w:ascii="Times New Roman" w:hAnsi="Times New Roman" w:cs="Times New Roman"/>
          <w:i/>
          <w:iCs/>
          <w:sz w:val="16"/>
          <w:szCs w:val="16"/>
        </w:rPr>
      </w:pPr>
    </w:p>
    <w:p w:rsidR="003F5D83" w:rsidRPr="004B5481" w:rsidRDefault="003F5D83" w:rsidP="003F5D83">
      <w:pPr>
        <w:pStyle w:val="a7"/>
        <w:ind w:firstLine="709"/>
      </w:pPr>
      <w:r w:rsidRPr="004B5481">
        <w:t>В целом по Республике Молдова наблюдается относительное преобладание мужчин в миграционных потоках. Так, в 2023 году среди эмигрантов мужчины составили 72,1 тыс. человек (55,4%), тогда как женщины — 58,0 тыс. человек (44,6%). В структуре иммиграции также преобладают мужчины: 52,7 тыс. человек (54,1%) против 44,8 тыс. человек (45,9%) женщин, что указывает на более высокую мобильность мужского населения.</w:t>
      </w:r>
    </w:p>
    <w:p w:rsidR="003F5D83" w:rsidRPr="004B5481" w:rsidRDefault="003F5D83" w:rsidP="003F5D83">
      <w:pPr>
        <w:pStyle w:val="a7"/>
        <w:ind w:firstLine="709"/>
      </w:pPr>
      <w:r w:rsidRPr="004B5481">
        <w:lastRenderedPageBreak/>
        <w:t>В муниципии Кишинёв гендерная структура миграции является более сбалансированной. В 2023 году среди эмигрантов мужчины составили 12,1 тыс. человек (51,8%), женщины — 11,3 тыс. человек (48,2%), тогда как среди иммигрантов женщины даже незначительно преобладают: 9,0 тыс. человек (51,4%) против 8,5 тыс. человек (48,6%) мужчин.</w:t>
      </w:r>
    </w:p>
    <w:p w:rsidR="003F5D83" w:rsidRPr="004B5481" w:rsidRDefault="003F5D83" w:rsidP="003F5D83">
      <w:pPr>
        <w:pStyle w:val="a7"/>
        <w:ind w:firstLine="709"/>
      </w:pPr>
      <w:r w:rsidRPr="004B5481">
        <w:t>В северном и центральном регионах наблюдается более выраженное преобладание мужчин среди эмигрантов. В 2023 году в регионе Север мужчины составили 21,7 тыс. человек (55,5%), женщины — 17,4 тыс. человек (44,5%). В регионе Центр разрыв ещё выше: мужчины — 23,1 тыс. человек (57,5%), женщины — 17,1 тыс. человек (42,5%), что свидетельствует о ярко выраженной трудовой направленности миграции.</w:t>
      </w:r>
    </w:p>
    <w:p w:rsidR="003F5D83" w:rsidRPr="004B5481" w:rsidRDefault="003F5D83" w:rsidP="003F5D83">
      <w:pPr>
        <w:pStyle w:val="a7"/>
        <w:ind w:firstLine="709"/>
      </w:pPr>
      <w:r w:rsidRPr="004B5481">
        <w:t>В АТО Гагаузия гендерная структура миграции также характеризуется преобладанием мужчин, однако различия менее значительны. В 2023 году среди эмигрантов мужчины составили 3,3 тыс. человек (54,1%), женщины — 2,8 тыс. человек (45,9%). В структуре иммиграции мужчины составляют 2,4 тыс. человек (53,3%), а женщины — 2,1 тыс. человек (46,7%), что указывает на относительно сбалансированное участие обоих полов в миграционных процессах.</w:t>
      </w:r>
    </w:p>
    <w:p w:rsidR="003F5D83" w:rsidRDefault="003F5D83" w:rsidP="003F5D83">
      <w:pPr>
        <w:pStyle w:val="a7"/>
        <w:ind w:firstLine="709"/>
      </w:pPr>
      <w:r w:rsidRPr="004B5481">
        <w:t>Сравнительный анализ показывает, что, несмотря на меньшие масштабы миграции, в АТО Гагаузия сохраняется устойчивая тенденция к оттоку населения, при этом доля мужчин среди эмигрантов превышает половину. Это подтверждает, что миграция в регионе в значительной степени носит трудовой характер и связана с поиском занятости.</w:t>
      </w:r>
    </w:p>
    <w:p w:rsidR="003F5D83" w:rsidRDefault="003F5D83" w:rsidP="003F5D83">
      <w:pPr>
        <w:pStyle w:val="a7"/>
      </w:pPr>
    </w:p>
    <w:p w:rsidR="00B244E7" w:rsidRDefault="00B244E7" w:rsidP="00A47A44">
      <w:pPr>
        <w:shd w:val="clear" w:color="auto" w:fill="FFFFFF"/>
        <w:spacing w:after="0" w:line="240" w:lineRule="auto"/>
        <w:jc w:val="both"/>
        <w:rPr>
          <w:rFonts w:ascii="Times New Roman" w:eastAsia="Times New Roman" w:hAnsi="Times New Roman" w:cs="Times New Roman"/>
          <w:b/>
          <w:bCs/>
          <w:color w:val="2F2F2F"/>
          <w:sz w:val="24"/>
          <w:szCs w:val="24"/>
          <w:lang w:val="ru-RU"/>
        </w:rPr>
      </w:pPr>
    </w:p>
    <w:p w:rsidR="00D46DAD" w:rsidRDefault="00D46DAD" w:rsidP="00A47A44">
      <w:pPr>
        <w:shd w:val="clear" w:color="auto" w:fill="FFFFFF"/>
        <w:spacing w:after="0" w:line="240" w:lineRule="auto"/>
        <w:jc w:val="both"/>
        <w:rPr>
          <w:rFonts w:ascii="Times New Roman" w:eastAsia="Times New Roman" w:hAnsi="Times New Roman" w:cs="Times New Roman"/>
          <w:b/>
          <w:bCs/>
          <w:color w:val="2F2F2F"/>
          <w:sz w:val="24"/>
          <w:szCs w:val="24"/>
          <w:lang w:val="ru-RU"/>
        </w:rPr>
      </w:pPr>
    </w:p>
    <w:p w:rsidR="00A47A44" w:rsidRDefault="00A47A44" w:rsidP="00A47A44">
      <w:pPr>
        <w:shd w:val="clear" w:color="auto" w:fill="FFFFFF"/>
        <w:spacing w:after="0" w:line="240" w:lineRule="auto"/>
        <w:jc w:val="both"/>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III. </w:t>
      </w:r>
      <w:r w:rsidR="00E652BA">
        <w:rPr>
          <w:rFonts w:ascii="Times New Roman" w:eastAsia="Times New Roman" w:hAnsi="Times New Roman" w:cs="Times New Roman"/>
          <w:b/>
          <w:bCs/>
          <w:color w:val="2F2F2F"/>
          <w:sz w:val="24"/>
          <w:szCs w:val="24"/>
          <w:lang w:val="ru-RU"/>
        </w:rPr>
        <w:t xml:space="preserve">  </w:t>
      </w:r>
      <w:r w:rsidR="00DE627D">
        <w:rPr>
          <w:rFonts w:ascii="Times New Roman" w:eastAsia="Times New Roman" w:hAnsi="Times New Roman" w:cs="Times New Roman"/>
          <w:b/>
          <w:bCs/>
          <w:color w:val="2F2F2F"/>
          <w:sz w:val="24"/>
          <w:szCs w:val="24"/>
          <w:lang w:val="ru-RU"/>
        </w:rPr>
        <w:t>ОБЩИЕ ЦЕЛИ И ПРИОРИТЕТНЫЕ НАПРАВЛЕНИЯ РОП</w:t>
      </w:r>
    </w:p>
    <w:p w:rsidR="00745C4B" w:rsidRDefault="00745C4B" w:rsidP="00A47A44">
      <w:pPr>
        <w:shd w:val="clear" w:color="auto" w:fill="FFFFFF"/>
        <w:spacing w:after="0" w:line="240" w:lineRule="auto"/>
        <w:jc w:val="both"/>
        <w:rPr>
          <w:rFonts w:ascii="Times New Roman" w:eastAsia="Times New Roman" w:hAnsi="Times New Roman" w:cs="Times New Roman"/>
          <w:b/>
          <w:bCs/>
          <w:i/>
          <w:iCs/>
          <w:color w:val="000000"/>
          <w:sz w:val="24"/>
          <w:szCs w:val="24"/>
          <w:lang w:val="ru-RU"/>
        </w:rPr>
      </w:pPr>
    </w:p>
    <w:p w:rsidR="00052870" w:rsidRDefault="00052870" w:rsidP="00DE627D">
      <w:pPr>
        <w:pStyle w:val="a7"/>
      </w:pPr>
      <w:r w:rsidRPr="00346506">
        <w:t xml:space="preserve">В соответствии с утверждённой парадигмой регионального развития Республики Молдова, стратегическое видение настоящей </w:t>
      </w:r>
      <w:r w:rsidR="00346506" w:rsidRPr="00346506">
        <w:t>Программы</w:t>
      </w:r>
      <w:r w:rsidRPr="00346506">
        <w:t xml:space="preserve"> состоит в </w:t>
      </w:r>
      <w:r w:rsidRPr="00346506">
        <w:rPr>
          <w:b/>
          <w:bCs/>
        </w:rPr>
        <w:t xml:space="preserve">поддержке роста конкурентоспособности и устойчивого развития каждого региона, </w:t>
      </w:r>
      <w:r w:rsidRPr="00346506">
        <w:rPr>
          <w:rFonts w:eastAsia="Times New Roman"/>
          <w:b/>
          <w:color w:val="000000"/>
        </w:rPr>
        <w:t xml:space="preserve">устранение неравенств </w:t>
      </w:r>
      <w:r w:rsidRPr="00346506">
        <w:rPr>
          <w:b/>
          <w:bCs/>
        </w:rPr>
        <w:t>и повышении качества жизни граждан</w:t>
      </w:r>
      <w:r w:rsidRPr="00346506">
        <w:t>.</w:t>
      </w:r>
      <w:r>
        <w:t xml:space="preserve"> </w:t>
      </w:r>
    </w:p>
    <w:p w:rsidR="00A47A44" w:rsidRPr="00052870" w:rsidRDefault="00A47A44" w:rsidP="00052870">
      <w:pPr>
        <w:pStyle w:val="a7"/>
      </w:pPr>
      <w:r w:rsidRPr="004509C8">
        <w:rPr>
          <w:rFonts w:eastAsia="Times New Roman"/>
          <w:color w:val="000000"/>
        </w:rPr>
        <w:t xml:space="preserve">Предложенная стратегическая рамочная программа для региона развития </w:t>
      </w:r>
      <w:r w:rsidR="00DE627D">
        <w:rPr>
          <w:rFonts w:eastAsia="Times New Roman"/>
          <w:color w:val="000000"/>
        </w:rPr>
        <w:t>АТО Гагаузия</w:t>
      </w:r>
      <w:r w:rsidRPr="004509C8">
        <w:rPr>
          <w:rFonts w:eastAsia="Times New Roman"/>
          <w:color w:val="000000"/>
        </w:rPr>
        <w:t xml:space="preserve"> основана на стратегических направлениях, установленных в </w:t>
      </w:r>
      <w:r>
        <w:rPr>
          <w:rFonts w:eastAsia="Times New Roman"/>
          <w:color w:val="000000"/>
        </w:rPr>
        <w:t>НСРР</w:t>
      </w:r>
      <w:r w:rsidRPr="004509C8">
        <w:rPr>
          <w:rFonts w:eastAsia="Times New Roman"/>
          <w:color w:val="000000"/>
        </w:rPr>
        <w:t xml:space="preserve"> на программный период 2022-2028 годов, адаптирована и скорректирована с учетом потребностей и специфики региона. </w:t>
      </w:r>
      <w:r w:rsidR="00052870">
        <w:rPr>
          <w:rFonts w:eastAsia="Times New Roman"/>
          <w:color w:val="000000"/>
        </w:rPr>
        <w:t xml:space="preserve"> </w:t>
      </w:r>
      <w:r>
        <w:rPr>
          <w:rFonts w:eastAsia="Times New Roman"/>
          <w:color w:val="000000"/>
        </w:rPr>
        <w:t xml:space="preserve">В соответствии с этим, </w:t>
      </w:r>
      <w:r>
        <w:rPr>
          <w:rFonts w:eastAsia="Times New Roman"/>
          <w:b/>
          <w:bCs/>
          <w:color w:val="000000"/>
        </w:rPr>
        <w:t>основную цель</w:t>
      </w:r>
      <w:r>
        <w:rPr>
          <w:rFonts w:eastAsia="Times New Roman"/>
          <w:color w:val="000000"/>
        </w:rPr>
        <w:t xml:space="preserve"> Региональ</w:t>
      </w:r>
      <w:r w:rsidR="008D1CF1">
        <w:rPr>
          <w:rFonts w:eastAsia="Times New Roman"/>
          <w:color w:val="000000"/>
        </w:rPr>
        <w:t>ной Операционной Программы 2026</w:t>
      </w:r>
      <w:r>
        <w:rPr>
          <w:rFonts w:eastAsia="Times New Roman"/>
          <w:color w:val="000000"/>
        </w:rPr>
        <w:t>–2028 можно сформулировать как:</w:t>
      </w:r>
      <w:r>
        <w:rPr>
          <w:rFonts w:eastAsia="Times New Roman"/>
        </w:rPr>
        <w:t xml:space="preserve"> </w:t>
      </w:r>
      <w:r w:rsidRPr="004509C8">
        <w:rPr>
          <w:rFonts w:eastAsia="Times New Roman"/>
          <w:b/>
          <w:i/>
          <w:u w:val="single"/>
        </w:rPr>
        <w:t>Поддержка повышения конкурентоспособности и устойчивого развития Региона развития АТО Гагаузия, устранение неравенства и повышение качества жизни граждан.</w:t>
      </w:r>
    </w:p>
    <w:p w:rsidR="00A47A44" w:rsidRDefault="00A47A44" w:rsidP="00A47A44">
      <w:pPr>
        <w:shd w:val="clear" w:color="auto" w:fill="FFFFFF"/>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A47A44" w:rsidRPr="008D1CF1" w:rsidRDefault="00C132EB" w:rsidP="00C132EB">
      <w:pPr>
        <w:shd w:val="clear" w:color="auto" w:fill="FFFFFF"/>
        <w:spacing w:after="0" w:line="240" w:lineRule="auto"/>
        <w:jc w:val="right"/>
        <w:rPr>
          <w:rFonts w:ascii="Times New Roman" w:eastAsia="Times New Roman" w:hAnsi="Times New Roman" w:cs="Times New Roman"/>
          <w:b/>
          <w:sz w:val="24"/>
          <w:szCs w:val="24"/>
          <w:lang w:val="ru-RU"/>
        </w:rPr>
      </w:pPr>
      <w:r w:rsidRPr="008D1CF1">
        <w:rPr>
          <w:rFonts w:ascii="Times New Roman" w:eastAsia="Times New Roman" w:hAnsi="Times New Roman" w:cs="Times New Roman"/>
          <w:b/>
          <w:sz w:val="24"/>
          <w:szCs w:val="24"/>
          <w:lang w:val="ru-RU"/>
        </w:rPr>
        <w:t xml:space="preserve">Таблица </w:t>
      </w:r>
      <w:r w:rsidR="008D1CF1" w:rsidRPr="008D1CF1">
        <w:rPr>
          <w:rFonts w:ascii="Times New Roman" w:eastAsia="Times New Roman" w:hAnsi="Times New Roman" w:cs="Times New Roman"/>
          <w:b/>
          <w:sz w:val="24"/>
          <w:szCs w:val="24"/>
          <w:lang w:val="ru-RU"/>
        </w:rPr>
        <w:t xml:space="preserve">3.1: </w:t>
      </w:r>
      <w:r w:rsidRPr="008D1CF1">
        <w:rPr>
          <w:rFonts w:ascii="Times New Roman" w:eastAsia="Times New Roman" w:hAnsi="Times New Roman" w:cs="Times New Roman"/>
          <w:b/>
          <w:sz w:val="24"/>
          <w:szCs w:val="24"/>
          <w:lang w:val="ru-RU"/>
        </w:rPr>
        <w:t>«Стратегическое видение, общие цели и приоритетные направления»</w:t>
      </w:r>
    </w:p>
    <w:p w:rsidR="00A47A44" w:rsidRDefault="00A47A44"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4"/>
        <w:gridCol w:w="3115"/>
      </w:tblGrid>
      <w:tr w:rsidR="00A47A44" w:rsidRPr="0005655F" w:rsidTr="00BD6565">
        <w:tc>
          <w:tcPr>
            <w:tcW w:w="9345" w:type="dxa"/>
            <w:gridSpan w:val="3"/>
          </w:tcPr>
          <w:p w:rsidR="00A47A44" w:rsidRDefault="00A47A44" w:rsidP="00D46DAD">
            <w:pPr>
              <w:spacing w:after="0" w:line="240" w:lineRule="auto"/>
              <w:jc w:val="center"/>
              <w:rPr>
                <w:rFonts w:ascii="Times New Roman" w:eastAsia="Times New Roman" w:hAnsi="Times New Roman" w:cs="Times New Roman"/>
                <w:b/>
                <w:color w:val="000000"/>
                <w:sz w:val="24"/>
                <w:szCs w:val="24"/>
                <w:lang w:val="ru-RU"/>
              </w:rPr>
            </w:pPr>
            <w:r w:rsidRPr="00C132EB">
              <w:rPr>
                <w:rFonts w:ascii="Times New Roman" w:eastAsia="Times New Roman" w:hAnsi="Times New Roman" w:cs="Times New Roman"/>
                <w:b/>
                <w:color w:val="000000"/>
                <w:sz w:val="24"/>
                <w:szCs w:val="24"/>
                <w:lang w:val="ru-RU"/>
              </w:rPr>
              <w:t>СТРАТЕГИЧЕСКОЕ ВИДЕНИЕ</w:t>
            </w:r>
          </w:p>
          <w:p w:rsidR="00A47A44" w:rsidRPr="00A47A44" w:rsidRDefault="00C132EB" w:rsidP="00D46DAD">
            <w:pPr>
              <w:spacing w:after="0" w:line="240" w:lineRule="auto"/>
              <w:jc w:val="center"/>
              <w:rPr>
                <w:rFonts w:ascii="Times New Roman" w:eastAsia="Times New Roman" w:hAnsi="Times New Roman" w:cs="Times New Roman"/>
                <w:color w:val="000000"/>
                <w:sz w:val="24"/>
                <w:szCs w:val="24"/>
                <w:lang w:val="ru-RU"/>
              </w:rPr>
            </w:pPr>
            <w:r w:rsidRPr="00C132EB">
              <w:rPr>
                <w:rFonts w:ascii="Times New Roman" w:eastAsia="Times New Roman" w:hAnsi="Times New Roman" w:cs="Times New Roman"/>
                <w:i/>
                <w:sz w:val="24"/>
                <w:szCs w:val="24"/>
                <w:lang w:val="ru-RU"/>
              </w:rPr>
              <w:t>Поддержка повышения конкурентоспособности и устойчивого развития Региона развития АТО Гагаузия, устранение неравенства и повышение качества жизни граждан</w:t>
            </w:r>
          </w:p>
        </w:tc>
      </w:tr>
      <w:tr w:rsidR="00A47A44" w:rsidRPr="0005655F" w:rsidTr="00BD6565">
        <w:tc>
          <w:tcPr>
            <w:tcW w:w="3256" w:type="dxa"/>
          </w:tcPr>
          <w:p w:rsidR="00292B85" w:rsidRPr="00292B85" w:rsidRDefault="00A47A44" w:rsidP="00D46DAD">
            <w:pPr>
              <w:spacing w:after="0" w:line="240" w:lineRule="auto"/>
              <w:jc w:val="center"/>
              <w:rPr>
                <w:rFonts w:ascii="Times New Roman" w:hAnsi="Times New Roman" w:cs="Times New Roman"/>
                <w:lang w:val="ru-RU"/>
              </w:rPr>
            </w:pPr>
            <w:r w:rsidRPr="00A12517">
              <w:rPr>
                <w:rFonts w:ascii="Times New Roman" w:hAnsi="Times New Roman" w:cs="Times New Roman"/>
                <w:lang w:val="ru-RU"/>
              </w:rPr>
              <w:t>ОБЩАЯ ЦЕЛЬ 1</w:t>
            </w:r>
          </w:p>
          <w:p w:rsidR="00A47A44" w:rsidRPr="00A47A44" w:rsidRDefault="00A47A44" w:rsidP="00D46DAD">
            <w:pPr>
              <w:spacing w:after="0" w:line="240" w:lineRule="auto"/>
              <w:rPr>
                <w:rFonts w:ascii="Times New Roman" w:eastAsia="Times New Roman" w:hAnsi="Times New Roman" w:cs="Times New Roman"/>
                <w:sz w:val="24"/>
                <w:szCs w:val="24"/>
                <w:lang w:val="ru-RU"/>
              </w:rPr>
            </w:pPr>
            <w:r w:rsidRPr="00A47A44">
              <w:rPr>
                <w:rFonts w:ascii="Times New Roman" w:eastAsia="Times New Roman" w:hAnsi="Times New Roman" w:cs="Times New Roman"/>
                <w:b/>
                <w:bCs/>
                <w:color w:val="000000"/>
                <w:sz w:val="24"/>
                <w:szCs w:val="24"/>
                <w:lang w:val="ru-RU"/>
              </w:rPr>
              <w:t>Повышение конкурентоспособности и занятости в регионе развития Гагаузия.</w:t>
            </w:r>
          </w:p>
          <w:p w:rsidR="00A47A44" w:rsidRPr="00A47A44" w:rsidRDefault="00A47A44" w:rsidP="00D46DAD">
            <w:pPr>
              <w:spacing w:after="0" w:line="240" w:lineRule="auto"/>
              <w:jc w:val="center"/>
              <w:rPr>
                <w:rFonts w:ascii="Times New Roman" w:hAnsi="Times New Roman" w:cs="Times New Roman"/>
                <w:lang w:val="ru-RU"/>
              </w:rPr>
            </w:pPr>
          </w:p>
          <w:p w:rsidR="00A47A44" w:rsidRPr="00A47A44" w:rsidRDefault="00A47A44" w:rsidP="00D46DAD">
            <w:pPr>
              <w:spacing w:after="0" w:line="240" w:lineRule="auto"/>
              <w:jc w:val="center"/>
              <w:rPr>
                <w:rFonts w:ascii="Times New Roman" w:hAnsi="Times New Roman" w:cs="Times New Roman"/>
                <w:lang w:val="ru-RU"/>
              </w:rPr>
            </w:pPr>
          </w:p>
        </w:tc>
        <w:tc>
          <w:tcPr>
            <w:tcW w:w="2974" w:type="dxa"/>
          </w:tcPr>
          <w:p w:rsidR="00292B85" w:rsidRPr="00292B85" w:rsidRDefault="00A47A44" w:rsidP="00D46DAD">
            <w:pPr>
              <w:spacing w:after="0" w:line="240" w:lineRule="auto"/>
              <w:jc w:val="center"/>
              <w:rPr>
                <w:rFonts w:ascii="Times New Roman" w:hAnsi="Times New Roman" w:cs="Times New Roman"/>
                <w:lang w:val="ru-RU"/>
              </w:rPr>
            </w:pPr>
            <w:r w:rsidRPr="00A47A44">
              <w:rPr>
                <w:rFonts w:ascii="Times New Roman" w:hAnsi="Times New Roman" w:cs="Times New Roman"/>
                <w:lang w:val="ru-RU"/>
              </w:rPr>
              <w:t>ОБЩАЯ ЦЕЛЬ 2</w:t>
            </w:r>
          </w:p>
          <w:p w:rsidR="00292B85" w:rsidRPr="00292B85" w:rsidRDefault="00A47A44" w:rsidP="00D46DAD">
            <w:pPr>
              <w:spacing w:after="0" w:line="240" w:lineRule="auto"/>
              <w:rPr>
                <w:rFonts w:ascii="Times New Roman" w:eastAsia="Times New Roman" w:hAnsi="Times New Roman" w:cs="Times New Roman"/>
                <w:b/>
                <w:bCs/>
                <w:color w:val="000000"/>
                <w:sz w:val="24"/>
                <w:szCs w:val="24"/>
                <w:lang w:val="ru-RU"/>
              </w:rPr>
            </w:pPr>
            <w:r w:rsidRPr="00A47A44">
              <w:rPr>
                <w:rFonts w:ascii="Times New Roman" w:eastAsia="Times New Roman" w:hAnsi="Times New Roman" w:cs="Times New Roman"/>
                <w:b/>
                <w:bCs/>
                <w:color w:val="000000"/>
                <w:sz w:val="24"/>
                <w:szCs w:val="24"/>
                <w:lang w:val="ru-RU"/>
              </w:rPr>
              <w:t>Совершенствование региональной инфраструктуры социально-экономического и пространственного развития. </w:t>
            </w:r>
          </w:p>
        </w:tc>
        <w:tc>
          <w:tcPr>
            <w:tcW w:w="3115" w:type="dxa"/>
          </w:tcPr>
          <w:p w:rsidR="00292B85" w:rsidRDefault="00A47A44" w:rsidP="00D46DAD">
            <w:pPr>
              <w:spacing w:after="0" w:line="240" w:lineRule="auto"/>
              <w:jc w:val="center"/>
              <w:rPr>
                <w:rFonts w:ascii="Times New Roman" w:hAnsi="Times New Roman" w:cs="Times New Roman"/>
                <w:lang w:val="ru-RU"/>
              </w:rPr>
            </w:pPr>
            <w:r w:rsidRPr="00A12517">
              <w:rPr>
                <w:rFonts w:ascii="Times New Roman" w:hAnsi="Times New Roman" w:cs="Times New Roman"/>
                <w:lang w:val="ru-RU"/>
              </w:rPr>
              <w:t xml:space="preserve">ОБЩАЯ ЦЕЛЬ </w:t>
            </w:r>
            <w:r w:rsidRPr="00A47A44">
              <w:rPr>
                <w:rFonts w:ascii="Times New Roman" w:hAnsi="Times New Roman" w:cs="Times New Roman"/>
                <w:lang w:val="ru-RU"/>
              </w:rPr>
              <w:t>3</w:t>
            </w:r>
          </w:p>
          <w:p w:rsidR="00A47A44" w:rsidRPr="008D1CF1" w:rsidRDefault="00A47A44" w:rsidP="00D46DAD">
            <w:pPr>
              <w:spacing w:after="0" w:line="240" w:lineRule="auto"/>
              <w:jc w:val="both"/>
              <w:rPr>
                <w:rFonts w:ascii="Times New Roman" w:eastAsia="Times New Roman" w:hAnsi="Times New Roman" w:cs="Times New Roman"/>
                <w:b/>
                <w:bCs/>
                <w:color w:val="000000"/>
                <w:sz w:val="24"/>
                <w:szCs w:val="24"/>
                <w:lang w:val="ru-RU"/>
              </w:rPr>
            </w:pPr>
            <w:r w:rsidRPr="00A47A44">
              <w:rPr>
                <w:rFonts w:ascii="Times New Roman" w:eastAsia="Times New Roman" w:hAnsi="Times New Roman" w:cs="Times New Roman"/>
                <w:b/>
                <w:bCs/>
                <w:color w:val="000000"/>
                <w:sz w:val="24"/>
                <w:szCs w:val="24"/>
                <w:lang w:val="ru-RU"/>
              </w:rPr>
              <w:t>Совершенствование инструментов координации и реализации национальной политики регионального развития</w:t>
            </w:r>
            <w:r>
              <w:rPr>
                <w:rFonts w:ascii="Times New Roman" w:eastAsia="Times New Roman" w:hAnsi="Times New Roman" w:cs="Times New Roman"/>
                <w:b/>
                <w:bCs/>
                <w:color w:val="000000"/>
                <w:sz w:val="24"/>
                <w:szCs w:val="24"/>
                <w:lang w:val="ru-RU"/>
              </w:rPr>
              <w:t>.</w:t>
            </w:r>
          </w:p>
        </w:tc>
      </w:tr>
      <w:tr w:rsidR="00A47A44" w:rsidTr="00BD6565">
        <w:tc>
          <w:tcPr>
            <w:tcW w:w="3256" w:type="dxa"/>
          </w:tcPr>
          <w:p w:rsidR="00A47A44" w:rsidRPr="00A47A44" w:rsidRDefault="00A47A44" w:rsidP="00D46DAD">
            <w:pPr>
              <w:spacing w:after="0" w:line="240" w:lineRule="auto"/>
              <w:jc w:val="center"/>
              <w:rPr>
                <w:rFonts w:ascii="Times New Roman" w:hAnsi="Times New Roman" w:cs="Times New Roman"/>
              </w:rPr>
            </w:pPr>
            <w:r w:rsidRPr="00A47A44">
              <w:rPr>
                <w:rFonts w:ascii="Times New Roman" w:hAnsi="Times New Roman" w:cs="Times New Roman"/>
              </w:rPr>
              <w:lastRenderedPageBreak/>
              <w:t>ПРИОРИТЕТНЫЕ НАПРАВЛЕНИЯ</w:t>
            </w:r>
          </w:p>
        </w:tc>
        <w:tc>
          <w:tcPr>
            <w:tcW w:w="2974" w:type="dxa"/>
          </w:tcPr>
          <w:p w:rsidR="00A47A44" w:rsidRPr="00A47A44" w:rsidRDefault="00A47A44" w:rsidP="00D46DAD">
            <w:pPr>
              <w:spacing w:after="0" w:line="240" w:lineRule="auto"/>
              <w:jc w:val="center"/>
              <w:rPr>
                <w:rFonts w:ascii="Times New Roman" w:hAnsi="Times New Roman" w:cs="Times New Roman"/>
              </w:rPr>
            </w:pPr>
            <w:r w:rsidRPr="00A47A44">
              <w:rPr>
                <w:rFonts w:ascii="Times New Roman" w:hAnsi="Times New Roman" w:cs="Times New Roman"/>
              </w:rPr>
              <w:t>ПРИОРИТЕТНЫЕ НАПРАВЛЕНИЯ</w:t>
            </w:r>
          </w:p>
        </w:tc>
        <w:tc>
          <w:tcPr>
            <w:tcW w:w="3115" w:type="dxa"/>
          </w:tcPr>
          <w:p w:rsidR="00A47A44" w:rsidRPr="00A47A44" w:rsidRDefault="00A47A44" w:rsidP="00D46DAD">
            <w:pPr>
              <w:spacing w:after="0" w:line="240" w:lineRule="auto"/>
              <w:jc w:val="center"/>
              <w:rPr>
                <w:rFonts w:ascii="Times New Roman" w:hAnsi="Times New Roman" w:cs="Times New Roman"/>
              </w:rPr>
            </w:pPr>
            <w:r w:rsidRPr="00A47A44">
              <w:rPr>
                <w:rFonts w:ascii="Times New Roman" w:hAnsi="Times New Roman" w:cs="Times New Roman"/>
              </w:rPr>
              <w:t>ПРИОРИТЕТНЫЕ НАПРАВЛЕНИЯ</w:t>
            </w:r>
          </w:p>
        </w:tc>
      </w:tr>
      <w:tr w:rsidR="00A47A44" w:rsidRPr="0005655F" w:rsidTr="00BD6565">
        <w:tc>
          <w:tcPr>
            <w:tcW w:w="3256" w:type="dxa"/>
          </w:tcPr>
          <w:p w:rsidR="00A47A44" w:rsidRPr="00A47A44" w:rsidRDefault="00431033"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1.1 Усиление роли и функций городов как движущих сил повышения конкурентоспособности региона развития АТО Гагаузия;</w:t>
            </w:r>
          </w:p>
        </w:tc>
        <w:tc>
          <w:tcPr>
            <w:tcW w:w="2974" w:type="dxa"/>
          </w:tcPr>
          <w:p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2.1</w:t>
            </w:r>
            <w:r w:rsidR="00431033">
              <w:rPr>
                <w:rFonts w:ascii="Times New Roman" w:eastAsia="Times New Roman" w:hAnsi="Times New Roman" w:cs="Times New Roman"/>
                <w:color w:val="000000"/>
                <w:sz w:val="24"/>
                <w:szCs w:val="24"/>
                <w:lang w:val="ru-RU"/>
              </w:rPr>
              <w:t xml:space="preserve"> Улучшение основной технической и коммунальной инфраструктуры в регионе развития АТО Гагаузия</w:t>
            </w:r>
          </w:p>
        </w:tc>
        <w:tc>
          <w:tcPr>
            <w:tcW w:w="3115" w:type="dxa"/>
          </w:tcPr>
          <w:p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3.1</w:t>
            </w:r>
            <w:r w:rsidR="00431033">
              <w:rPr>
                <w:rFonts w:ascii="Times New Roman" w:eastAsia="Times New Roman" w:hAnsi="Times New Roman" w:cs="Times New Roman"/>
                <w:color w:val="000000"/>
                <w:sz w:val="24"/>
                <w:szCs w:val="24"/>
                <w:lang w:val="ru-RU"/>
              </w:rPr>
              <w:t xml:space="preserve"> </w:t>
            </w:r>
            <w:r w:rsidR="00431033">
              <w:rPr>
                <w:rFonts w:ascii="Times New Roman" w:eastAsia="Times New Roman" w:hAnsi="Times New Roman" w:cs="Times New Roman"/>
                <w:sz w:val="24"/>
                <w:szCs w:val="24"/>
                <w:shd w:val="clear" w:color="auto" w:fill="FFFFFF" w:themeFill="background1"/>
                <w:lang w:val="ru-RU"/>
              </w:rPr>
              <w:t>Повышение эффективности институтов регионального развития</w:t>
            </w:r>
          </w:p>
        </w:tc>
      </w:tr>
      <w:tr w:rsidR="00A47A44" w:rsidRPr="0005655F" w:rsidTr="00BD6565">
        <w:tc>
          <w:tcPr>
            <w:tcW w:w="3256" w:type="dxa"/>
          </w:tcPr>
          <w:p w:rsidR="00A47A44" w:rsidRPr="00A47A44" w:rsidRDefault="00A47A44" w:rsidP="00D46DAD">
            <w:pPr>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1.2</w:t>
            </w:r>
            <w:r w:rsidR="00431033">
              <w:rPr>
                <w:rFonts w:ascii="Times New Roman" w:eastAsia="Times New Roman" w:hAnsi="Times New Roman" w:cs="Times New Roman"/>
                <w:color w:val="000000"/>
                <w:sz w:val="24"/>
                <w:szCs w:val="24"/>
                <w:lang w:val="ru-RU"/>
              </w:rPr>
              <w:t xml:space="preserve"> Улучшение предпринимательской среды в регионе развития АТО Гагаузия;</w:t>
            </w:r>
          </w:p>
        </w:tc>
        <w:tc>
          <w:tcPr>
            <w:tcW w:w="2974" w:type="dxa"/>
          </w:tcPr>
          <w:p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2.2</w:t>
            </w:r>
            <w:r w:rsidR="00431033">
              <w:rPr>
                <w:rFonts w:ascii="Times New Roman" w:eastAsia="Times New Roman" w:hAnsi="Times New Roman" w:cs="Times New Roman"/>
                <w:color w:val="000000"/>
                <w:sz w:val="24"/>
                <w:szCs w:val="24"/>
                <w:lang w:val="ru-RU"/>
              </w:rPr>
              <w:t xml:space="preserve"> Развитие бизнес-инфраструктуры в регионе развития АТО Гагаузия</w:t>
            </w:r>
          </w:p>
        </w:tc>
        <w:tc>
          <w:tcPr>
            <w:tcW w:w="3115" w:type="dxa"/>
          </w:tcPr>
          <w:p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3.2</w:t>
            </w:r>
            <w:r w:rsidR="00431033">
              <w:rPr>
                <w:rFonts w:ascii="Times New Roman" w:eastAsia="Times New Roman" w:hAnsi="Times New Roman" w:cs="Times New Roman"/>
                <w:color w:val="000000"/>
                <w:sz w:val="24"/>
                <w:szCs w:val="24"/>
                <w:lang w:val="ru-RU"/>
              </w:rPr>
              <w:t xml:space="preserve"> Оптимизация механизма финансирования проектов регионального развития</w:t>
            </w:r>
          </w:p>
        </w:tc>
      </w:tr>
      <w:tr w:rsidR="00A47A44" w:rsidRPr="0005655F" w:rsidTr="00BD6565">
        <w:tc>
          <w:tcPr>
            <w:tcW w:w="3256" w:type="dxa"/>
          </w:tcPr>
          <w:p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1.3</w:t>
            </w:r>
            <w:r w:rsidR="00292B85">
              <w:rPr>
                <w:rFonts w:ascii="Times New Roman" w:eastAsia="Times New Roman" w:hAnsi="Times New Roman" w:cs="Times New Roman"/>
                <w:color w:val="000000"/>
                <w:sz w:val="24"/>
                <w:szCs w:val="24"/>
                <w:lang w:val="ru-RU"/>
              </w:rPr>
              <w:t xml:space="preserve"> П</w:t>
            </w:r>
            <w:r w:rsidR="00431033">
              <w:rPr>
                <w:rFonts w:ascii="Times New Roman" w:eastAsia="Times New Roman" w:hAnsi="Times New Roman" w:cs="Times New Roman"/>
                <w:color w:val="000000"/>
                <w:sz w:val="24"/>
                <w:szCs w:val="24"/>
                <w:lang w:val="ru-RU"/>
              </w:rPr>
              <w:t xml:space="preserve">родвижение приоритетов умной специализации в регионе развития АТО </w:t>
            </w:r>
            <w:r w:rsidR="00292B85">
              <w:rPr>
                <w:rFonts w:ascii="Times New Roman" w:eastAsia="Times New Roman" w:hAnsi="Times New Roman" w:cs="Times New Roman"/>
                <w:color w:val="000000"/>
                <w:sz w:val="24"/>
                <w:szCs w:val="24"/>
                <w:lang w:val="ru-RU"/>
              </w:rPr>
              <w:t>Г</w:t>
            </w:r>
            <w:r w:rsidR="00431033">
              <w:rPr>
                <w:rFonts w:ascii="Times New Roman" w:eastAsia="Times New Roman" w:hAnsi="Times New Roman" w:cs="Times New Roman"/>
                <w:color w:val="000000"/>
                <w:sz w:val="24"/>
                <w:szCs w:val="24"/>
                <w:lang w:val="ru-RU"/>
              </w:rPr>
              <w:t>агаузия</w:t>
            </w:r>
          </w:p>
        </w:tc>
        <w:tc>
          <w:tcPr>
            <w:tcW w:w="2974" w:type="dxa"/>
          </w:tcPr>
          <w:p w:rsidR="00A47A44" w:rsidRPr="00A47A44" w:rsidRDefault="00A47A44"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2.3</w:t>
            </w:r>
            <w:r w:rsidR="00431033">
              <w:rPr>
                <w:rFonts w:ascii="Times New Roman" w:eastAsia="Times New Roman" w:hAnsi="Times New Roman" w:cs="Times New Roman"/>
                <w:color w:val="000000"/>
                <w:sz w:val="24"/>
                <w:szCs w:val="24"/>
                <w:lang w:val="ru-RU"/>
              </w:rPr>
              <w:t xml:space="preserve"> Поддержка процесса адаптации региона развития АТО Гагаузия к изменению климата и повышение устойчивости к бедствиям</w:t>
            </w:r>
          </w:p>
        </w:tc>
        <w:tc>
          <w:tcPr>
            <w:tcW w:w="3115" w:type="dxa"/>
          </w:tcPr>
          <w:p w:rsidR="00A47A44" w:rsidRPr="00A47A44" w:rsidRDefault="00073FA1" w:rsidP="00C14069">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3.3 </w:t>
            </w:r>
            <w:r w:rsidRPr="00073FA1">
              <w:rPr>
                <w:rFonts w:ascii="Times New Roman" w:eastAsia="Times New Roman" w:hAnsi="Times New Roman" w:cs="Times New Roman"/>
                <w:color w:val="000000"/>
                <w:sz w:val="24"/>
                <w:szCs w:val="24"/>
                <w:lang w:val="ru-RU"/>
              </w:rPr>
              <w:t xml:space="preserve">Развитие потенциала региональных субъектов в областях, имеющих отношение к </w:t>
            </w:r>
            <w:r w:rsidR="00C14069" w:rsidRPr="00073FA1">
              <w:rPr>
                <w:rFonts w:ascii="Times New Roman" w:eastAsia="Times New Roman" w:hAnsi="Times New Roman" w:cs="Times New Roman"/>
                <w:color w:val="000000"/>
                <w:sz w:val="24"/>
                <w:szCs w:val="24"/>
                <w:lang w:val="ru-RU"/>
              </w:rPr>
              <w:t xml:space="preserve">политике </w:t>
            </w:r>
            <w:r w:rsidR="00C14069">
              <w:rPr>
                <w:rFonts w:ascii="Times New Roman" w:eastAsia="Times New Roman" w:hAnsi="Times New Roman" w:cs="Times New Roman"/>
                <w:color w:val="000000"/>
                <w:sz w:val="24"/>
                <w:szCs w:val="24"/>
                <w:lang w:val="ru-RU"/>
              </w:rPr>
              <w:t>регионального</w:t>
            </w:r>
            <w:r w:rsidRPr="00073FA1">
              <w:rPr>
                <w:rFonts w:ascii="Times New Roman" w:eastAsia="Times New Roman" w:hAnsi="Times New Roman" w:cs="Times New Roman"/>
                <w:color w:val="000000"/>
                <w:sz w:val="24"/>
                <w:szCs w:val="24"/>
                <w:lang w:val="ru-RU"/>
              </w:rPr>
              <w:t xml:space="preserve"> развития.</w:t>
            </w:r>
          </w:p>
        </w:tc>
      </w:tr>
      <w:tr w:rsidR="00431033" w:rsidRPr="0005655F" w:rsidTr="00BD6565">
        <w:tc>
          <w:tcPr>
            <w:tcW w:w="3256" w:type="dxa"/>
          </w:tcPr>
          <w:p w:rsidR="00431033" w:rsidRDefault="00431033" w:rsidP="00D46DAD">
            <w:pP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1.4 </w:t>
            </w:r>
            <w:r w:rsidRPr="00431033">
              <w:rPr>
                <w:rFonts w:ascii="Times New Roman" w:eastAsia="Times New Roman" w:hAnsi="Times New Roman" w:cs="Times New Roman"/>
                <w:color w:val="000000"/>
                <w:sz w:val="24"/>
                <w:szCs w:val="24"/>
                <w:lang w:val="ru-RU"/>
              </w:rPr>
              <w:t>Поддержка регионального и приграничного сотрудничества</w:t>
            </w:r>
          </w:p>
        </w:tc>
        <w:tc>
          <w:tcPr>
            <w:tcW w:w="2974" w:type="dxa"/>
          </w:tcPr>
          <w:p w:rsidR="00431033" w:rsidRDefault="00431033" w:rsidP="00D46DAD">
            <w:pPr>
              <w:spacing w:after="0" w:line="240" w:lineRule="auto"/>
              <w:jc w:val="both"/>
              <w:rPr>
                <w:rFonts w:ascii="Times New Roman" w:eastAsia="Times New Roman" w:hAnsi="Times New Roman" w:cs="Times New Roman"/>
                <w:color w:val="000000"/>
                <w:sz w:val="24"/>
                <w:szCs w:val="24"/>
                <w:lang w:val="ru-RU"/>
              </w:rPr>
            </w:pPr>
          </w:p>
        </w:tc>
        <w:tc>
          <w:tcPr>
            <w:tcW w:w="3115" w:type="dxa"/>
          </w:tcPr>
          <w:p w:rsidR="00431033" w:rsidRDefault="00431033" w:rsidP="00D46DAD">
            <w:pPr>
              <w:spacing w:after="0" w:line="240" w:lineRule="auto"/>
              <w:jc w:val="both"/>
              <w:rPr>
                <w:rFonts w:ascii="Times New Roman" w:eastAsia="Times New Roman" w:hAnsi="Times New Roman" w:cs="Times New Roman"/>
                <w:color w:val="000000"/>
                <w:sz w:val="24"/>
                <w:szCs w:val="24"/>
                <w:lang w:val="ru-RU"/>
              </w:rPr>
            </w:pPr>
          </w:p>
        </w:tc>
      </w:tr>
    </w:tbl>
    <w:p w:rsidR="004771C5" w:rsidRDefault="004771C5"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p>
    <w:p w:rsidR="004771C5" w:rsidRDefault="004771C5"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p>
    <w:p w:rsidR="00A47A44" w:rsidRPr="00292B85" w:rsidRDefault="00A47A44" w:rsidP="00A47A44">
      <w:pPr>
        <w:shd w:val="clear" w:color="auto" w:fill="FFFFFF"/>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Для достижения стратегической цели регионального развития в регионе АТО Гагаузия, РОП 2026–202</w:t>
      </w:r>
      <w:r w:rsidR="00A6684B">
        <w:rPr>
          <w:rFonts w:ascii="Times New Roman" w:eastAsia="Times New Roman" w:hAnsi="Times New Roman" w:cs="Times New Roman"/>
          <w:color w:val="000000"/>
          <w:sz w:val="24"/>
          <w:szCs w:val="24"/>
          <w:lang w:val="ru-RU"/>
        </w:rPr>
        <w:t>8</w:t>
      </w:r>
      <w:r>
        <w:rPr>
          <w:rFonts w:ascii="Times New Roman" w:eastAsia="Times New Roman" w:hAnsi="Times New Roman" w:cs="Times New Roman"/>
          <w:color w:val="000000"/>
          <w:sz w:val="24"/>
          <w:szCs w:val="24"/>
          <w:lang w:val="ru-RU"/>
        </w:rPr>
        <w:t xml:space="preserve"> будет сосредоточена на следующих трех конкретных задачах:</w:t>
      </w:r>
    </w:p>
    <w:p w:rsidR="00292B85" w:rsidRDefault="00292B85" w:rsidP="00B12694">
      <w:pPr>
        <w:spacing w:after="0" w:line="240" w:lineRule="auto"/>
        <w:jc w:val="both"/>
        <w:rPr>
          <w:rFonts w:ascii="Times New Roman" w:eastAsia="Times New Roman" w:hAnsi="Times New Roman" w:cs="Times New Roman"/>
          <w:b/>
          <w:bCs/>
          <w:color w:val="2F2F2F"/>
          <w:sz w:val="24"/>
          <w:szCs w:val="24"/>
          <w:lang w:val="ru-RU"/>
        </w:rPr>
      </w:pPr>
    </w:p>
    <w:p w:rsidR="00346506" w:rsidRDefault="008D1CF1" w:rsidP="00B12694">
      <w:pPr>
        <w:spacing w:after="0" w:line="240" w:lineRule="auto"/>
        <w:jc w:val="both"/>
        <w:rPr>
          <w:rFonts w:ascii="Times New Roman" w:eastAsia="Times New Roman" w:hAnsi="Times New Roman" w:cs="Times New Roman"/>
          <w:b/>
          <w:bCs/>
          <w:color w:val="2F2F2F"/>
          <w:sz w:val="24"/>
          <w:szCs w:val="24"/>
          <w:lang w:val="ru-RU"/>
        </w:rPr>
      </w:pPr>
      <w:r w:rsidRPr="00292B85">
        <w:rPr>
          <w:rFonts w:ascii="Times New Roman" w:eastAsia="Times New Roman" w:hAnsi="Times New Roman" w:cs="Times New Roman"/>
          <w:b/>
          <w:bCs/>
          <w:color w:val="2F2F2F"/>
          <w:sz w:val="24"/>
          <w:szCs w:val="24"/>
          <w:lang w:val="ru-RU"/>
        </w:rPr>
        <w:t>3.1. </w:t>
      </w:r>
      <w:r w:rsidR="00292B85">
        <w:rPr>
          <w:rFonts w:ascii="Times New Roman" w:eastAsia="Times New Roman" w:hAnsi="Times New Roman" w:cs="Times New Roman"/>
          <w:b/>
          <w:bCs/>
          <w:color w:val="2F2F2F"/>
          <w:sz w:val="24"/>
          <w:szCs w:val="24"/>
          <w:lang w:val="ru-RU"/>
        </w:rPr>
        <w:t xml:space="preserve"> </w:t>
      </w:r>
      <w:r w:rsidR="005C4BE6" w:rsidRPr="005C4BE6">
        <w:rPr>
          <w:rFonts w:ascii="Times New Roman" w:eastAsia="Times New Roman" w:hAnsi="Times New Roman" w:cs="Times New Roman"/>
          <w:b/>
          <w:bCs/>
          <w:color w:val="2F2F2F"/>
          <w:sz w:val="24"/>
          <w:szCs w:val="24"/>
          <w:lang w:val="ru-RU"/>
        </w:rPr>
        <w:t xml:space="preserve"> </w:t>
      </w:r>
    </w:p>
    <w:p w:rsidR="00B12694" w:rsidRPr="005C4BE6" w:rsidRDefault="00292B85" w:rsidP="00B12694">
      <w:pPr>
        <w:spacing w:after="0" w:line="240" w:lineRule="auto"/>
        <w:jc w:val="both"/>
        <w:rPr>
          <w:rFonts w:ascii="Times New Roman" w:eastAsia="Times New Roman" w:hAnsi="Times New Roman" w:cs="Times New Roman"/>
          <w:b/>
          <w:bCs/>
          <w:color w:val="2F2F2F"/>
          <w:sz w:val="24"/>
          <w:szCs w:val="24"/>
          <w:u w:val="single"/>
          <w:lang w:val="ru-RU"/>
        </w:rPr>
      </w:pPr>
      <w:r w:rsidRPr="005C4BE6">
        <w:rPr>
          <w:rFonts w:ascii="Times New Roman" w:eastAsia="Times New Roman" w:hAnsi="Times New Roman" w:cs="Times New Roman"/>
          <w:b/>
          <w:bCs/>
          <w:color w:val="2F2F2F"/>
          <w:sz w:val="24"/>
          <w:szCs w:val="24"/>
          <w:u w:val="single"/>
          <w:lang w:val="ru-RU"/>
        </w:rPr>
        <w:t xml:space="preserve">Общая цель 1: </w:t>
      </w:r>
      <w:r w:rsidR="00B12694" w:rsidRPr="005C4BE6">
        <w:rPr>
          <w:rFonts w:ascii="Times New Roman" w:eastAsia="Times New Roman" w:hAnsi="Times New Roman" w:cs="Times New Roman"/>
          <w:b/>
          <w:bCs/>
          <w:color w:val="000000"/>
          <w:sz w:val="24"/>
          <w:szCs w:val="24"/>
          <w:u w:val="single"/>
          <w:lang w:val="ru-RU"/>
        </w:rPr>
        <w:t>Повышение конкурентоспособности и занятости в регионе развития АТО Гагаузия.</w:t>
      </w:r>
    </w:p>
    <w:p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Экономика региона развития АТО Гагаузия характеризуется сравнительно низким уровнем конкурентоспособности в национальном контексте, что проявляется в ограниченной доле региона в формировании валового внутреннего продукта страны (около 2,3–2,4%) и существенном отставании по показателю РВВП на душу населения о</w:t>
      </w:r>
      <w:r>
        <w:rPr>
          <w:rFonts w:ascii="Times New Roman" w:eastAsia="Times New Roman" w:hAnsi="Times New Roman" w:cs="Times New Roman"/>
          <w:sz w:val="24"/>
          <w:szCs w:val="24"/>
          <w:lang w:val="ru-RU" w:eastAsia="ru-RU"/>
        </w:rPr>
        <w:t>т среднереспубликанского уровня</w:t>
      </w:r>
      <w:r w:rsidRPr="00C10DDC">
        <w:rPr>
          <w:rFonts w:ascii="Times New Roman" w:eastAsia="Times New Roman" w:hAnsi="Times New Roman" w:cs="Times New Roman"/>
          <w:sz w:val="24"/>
          <w:szCs w:val="24"/>
          <w:lang w:val="ru-RU" w:eastAsia="ru-RU"/>
        </w:rPr>
        <w:t>. В условиях высокой концентрации экономической активности, инвестиций и квалифицированной рабочей силы в муниципии Кишинёв, регион сталкивается с усиливающимися межрегиональными диспропорциями, что ограничивает его потенциал устойчивого развития.</w:t>
      </w:r>
    </w:p>
    <w:p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Замедленные темпы экономического роста региона обусловлены рядом системных факторов, среди которых: низкая инвестиционная активность, ограниченное развитие предпринимательской среды, преобладание экономической деятельности с низкой добавленной стоимостью, а также недостаточный уровень развития экономической и бизнес-инфраструктуры. Дополнительным ограничением выступает демографический спад и миграционный отток трудоспособного населения, что снижает доступность человеческого капитала и сдерживает развитие рынка труда.</w:t>
      </w:r>
    </w:p>
    <w:p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Существенным вызовом остаётся недостаточная роль городов региона (Комрат, Чадыр-Лунга и Вулканешты) как центров экономического роста. Ограниченная привлекательность городской среды, обусловленная недостаточным уровнем развития инфраструктуры, услуг </w:t>
      </w:r>
      <w:r w:rsidRPr="00C10DDC">
        <w:rPr>
          <w:rFonts w:ascii="Times New Roman" w:eastAsia="Times New Roman" w:hAnsi="Times New Roman" w:cs="Times New Roman"/>
          <w:sz w:val="24"/>
          <w:szCs w:val="24"/>
          <w:lang w:val="ru-RU" w:eastAsia="ru-RU"/>
        </w:rPr>
        <w:lastRenderedPageBreak/>
        <w:t>и возможностей занятости, способствует дальнейшему оттоку населения и снижению инвестиционной активности.</w:t>
      </w:r>
    </w:p>
    <w:p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В этих условиях повышение конкурентоспособности региона развития АТО Гагаузия требует комплексного подхода, направленного на снижение территориальных диспропорций, обеспечение равного доступа к качественной инфраструктуре и современным услугам, а также на формирование благоприятной среды для ведения бизнеса и привлечения инвестиций.</w:t>
      </w:r>
    </w:p>
    <w:p w:rsidR="00C10DDC" w:rsidRPr="00C10DDC" w:rsidRDefault="00C10DDC" w:rsidP="00C10DDC">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Настоящая цель направлена на создание условий для устойчивого экономического роста посредством:</w:t>
      </w:r>
    </w:p>
    <w:p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стимулирования предпринимательской активности и развития малого и среднего бизнеса; </w:t>
      </w:r>
    </w:p>
    <w:p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привлечения инвестиций, в том числе в производственные и инновационные сектора; </w:t>
      </w:r>
    </w:p>
    <w:p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развития умной специализации с опорой на существующие конкурентные преимущества региона (агропромышленный сектор, переработка, логистика); </w:t>
      </w:r>
    </w:p>
    <w:p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поддержки развития городов как центров экономической активности и занятости; </w:t>
      </w:r>
    </w:p>
    <w:p w:rsidR="00C10DDC" w:rsidRPr="00C10DDC" w:rsidRDefault="00C10DDC" w:rsidP="00C10DD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 xml:space="preserve">повышения уровня занятости и создания качественных рабочих мест. </w:t>
      </w:r>
    </w:p>
    <w:p w:rsidR="00C10DDC" w:rsidRDefault="00C10DDC" w:rsidP="00C10DDC">
      <w:pPr>
        <w:spacing w:line="240" w:lineRule="auto"/>
        <w:ind w:firstLine="450"/>
        <w:jc w:val="both"/>
        <w:rPr>
          <w:rFonts w:ascii="Times New Roman" w:eastAsia="Times New Roman" w:hAnsi="Times New Roman" w:cs="Times New Roman"/>
          <w:sz w:val="24"/>
          <w:szCs w:val="24"/>
          <w:lang w:val="ru-RU"/>
        </w:rPr>
      </w:pPr>
      <w:r w:rsidRPr="00C10DDC">
        <w:rPr>
          <w:rFonts w:ascii="Times New Roman" w:eastAsia="Times New Roman" w:hAnsi="Times New Roman" w:cs="Times New Roman"/>
          <w:sz w:val="24"/>
          <w:szCs w:val="24"/>
          <w:lang w:val="ru-RU" w:eastAsia="ru-RU"/>
        </w:rPr>
        <w:t xml:space="preserve">В рамках реализации данного приоритета особое внимание будет уделено поддержке конкурентоспособных секторов экономики, развитию бизнес-инфраструктуры, а также </w:t>
      </w:r>
      <w:r>
        <w:rPr>
          <w:rFonts w:ascii="Times New Roman" w:eastAsia="Times New Roman" w:hAnsi="Times New Roman" w:cs="Times New Roman"/>
          <w:color w:val="000000"/>
          <w:sz w:val="24"/>
          <w:szCs w:val="24"/>
          <w:lang w:val="ru-RU"/>
        </w:rPr>
        <w:t>усилению роли и функций городов как движущих сил повышения конкурентоспособности региона,</w:t>
      </w:r>
      <w:r w:rsidRPr="00C10DDC">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color w:val="000000"/>
          <w:sz w:val="24"/>
          <w:szCs w:val="24"/>
          <w:lang w:val="ru-RU"/>
        </w:rPr>
        <w:t>а также на продвижение умной специализации региона.</w:t>
      </w:r>
    </w:p>
    <w:p w:rsidR="00C10DDC" w:rsidRPr="00C10DDC" w:rsidRDefault="00C10DDC" w:rsidP="00A6684B">
      <w:pPr>
        <w:spacing w:before="100" w:beforeAutospacing="1" w:after="100" w:afterAutospacing="1" w:line="240" w:lineRule="auto"/>
        <w:ind w:firstLine="426"/>
        <w:jc w:val="both"/>
        <w:rPr>
          <w:rFonts w:ascii="Times New Roman" w:eastAsia="Times New Roman" w:hAnsi="Times New Roman" w:cs="Times New Roman"/>
          <w:sz w:val="24"/>
          <w:szCs w:val="24"/>
          <w:lang w:val="ru-RU" w:eastAsia="ru-RU"/>
        </w:rPr>
      </w:pPr>
      <w:r w:rsidRPr="00C10DDC">
        <w:rPr>
          <w:rFonts w:ascii="Times New Roman" w:eastAsia="Times New Roman" w:hAnsi="Times New Roman" w:cs="Times New Roman"/>
          <w:sz w:val="24"/>
          <w:szCs w:val="24"/>
          <w:lang w:val="ru-RU" w:eastAsia="ru-RU"/>
        </w:rPr>
        <w:t>Таким образом, достижение данной цели позволит повысить экономическую устойчивость региона, сократить отставание от других регионов страны и создать предпосылки для долгосрочного социально-экономического развития АТО Гагаузия.</w:t>
      </w:r>
    </w:p>
    <w:p w:rsidR="00C10DDC" w:rsidRPr="00C5758D" w:rsidRDefault="00C5758D" w:rsidP="00346506">
      <w:pPr>
        <w:shd w:val="clear" w:color="auto" w:fill="FFFFFF"/>
        <w:spacing w:after="0" w:line="360" w:lineRule="auto"/>
        <w:rPr>
          <w:rFonts w:ascii="Times New Roman" w:eastAsia="Times New Roman" w:hAnsi="Times New Roman" w:cs="Times New Roman"/>
          <w:b/>
          <w:bCs/>
          <w:i/>
          <w:color w:val="000000"/>
          <w:sz w:val="24"/>
          <w:szCs w:val="24"/>
          <w:lang w:val="ru-RU"/>
        </w:rPr>
      </w:pPr>
      <w:r w:rsidRPr="00346506">
        <w:rPr>
          <w:rFonts w:ascii="Times New Roman" w:eastAsia="Times New Roman" w:hAnsi="Times New Roman" w:cs="Times New Roman"/>
          <w:b/>
          <w:color w:val="000000"/>
          <w:sz w:val="24"/>
          <w:szCs w:val="24"/>
          <w:lang w:val="ru-RU"/>
        </w:rPr>
        <w:t>Приоритетное направление</w:t>
      </w:r>
      <w:r w:rsidR="00A6684B">
        <w:rPr>
          <w:rFonts w:ascii="Times New Roman" w:eastAsia="Times New Roman" w:hAnsi="Times New Roman" w:cs="Times New Roman"/>
          <w:b/>
          <w:color w:val="000000"/>
          <w:sz w:val="24"/>
          <w:szCs w:val="24"/>
          <w:lang w:val="ru-RU"/>
        </w:rPr>
        <w:t xml:space="preserve"> </w:t>
      </w:r>
      <w:r w:rsidR="00C10DDC" w:rsidRPr="00C10DDC">
        <w:rPr>
          <w:rFonts w:ascii="Times New Roman" w:eastAsia="Times New Roman" w:hAnsi="Times New Roman" w:cs="Times New Roman"/>
          <w:b/>
          <w:color w:val="000000"/>
          <w:sz w:val="24"/>
          <w:szCs w:val="24"/>
          <w:lang w:val="ru-RU"/>
        </w:rPr>
        <w:t xml:space="preserve">1.1 </w:t>
      </w:r>
      <w:r w:rsidR="00C10DDC" w:rsidRPr="00C5758D">
        <w:rPr>
          <w:rFonts w:ascii="Times New Roman" w:eastAsia="Times New Roman" w:hAnsi="Times New Roman" w:cs="Times New Roman"/>
          <w:b/>
          <w:i/>
          <w:color w:val="000000"/>
          <w:sz w:val="24"/>
          <w:szCs w:val="24"/>
          <w:lang w:val="ru-RU"/>
        </w:rPr>
        <w:t>Усиление роли и функций городов как движущих сил повышения конкурентоспособности региона развития АТО Гагаузия</w:t>
      </w:r>
    </w:p>
    <w:p w:rsidR="00C10DDC" w:rsidRDefault="00C10DDC" w:rsidP="00C10DDC">
      <w:pPr>
        <w:pStyle w:val="a7"/>
      </w:pPr>
      <w:r>
        <w:t xml:space="preserve">Роль городов в социально-экономическом развитии региона развития АТО Гагаузия является ключевой, поскольку именно они выступают центрами концентрации экономической активности, инвестиций, инфраструктуры и человеческого капитала. Муниципии Комрат, Чадыр-Лунга и </w:t>
      </w:r>
      <w:r w:rsidR="009E70CD">
        <w:t xml:space="preserve">город Вулканешты </w:t>
      </w:r>
      <w:r>
        <w:t>выполняют функцию опорных пунктов развития, обеспечивая доступ населения к рабочим местам, услугам и возможностям экономической самореализации.</w:t>
      </w:r>
    </w:p>
    <w:p w:rsidR="00C10DDC" w:rsidRDefault="00C10DDC" w:rsidP="00C10DDC">
      <w:pPr>
        <w:pStyle w:val="a7"/>
      </w:pPr>
      <w:r>
        <w:t>В то же время потенциал городов региона используется не в полной мере. Основными ограничениями остаются недостаточный уровень развития городской инфраструктуры, изношенность инженерных сетей, ограниченный доступ к современным услугам, низкая инвестиционная привлекательность, а также наличие внутригородских диспропорций, выражающихся в существовании деградированных или недостаточно освоенных территорий.</w:t>
      </w:r>
    </w:p>
    <w:p w:rsidR="00C10DDC" w:rsidRDefault="00C10DDC" w:rsidP="00C10DDC">
      <w:pPr>
        <w:pStyle w:val="a7"/>
      </w:pPr>
      <w:r>
        <w:t xml:space="preserve">Согласно стратегическим документам и действующим программам городского развития, в том числе Программе </w:t>
      </w:r>
      <w:proofErr w:type="spellStart"/>
      <w:r>
        <w:t>ревитализации</w:t>
      </w:r>
      <w:proofErr w:type="spellEnd"/>
      <w:r>
        <w:t xml:space="preserve"> муниципия Комрат на 2022–2026 годы, развитие городов требует комплексного подхода, ориентированного на модернизацию инфраструктуры, повышение качества городской среды и активизацию экономической деятельности. В рамках указанной программы определены приоритетные направления инвестиций, включая развитие водоснабжения и канализации, социальной инфраструктуры и городской </w:t>
      </w:r>
      <w:r w:rsidR="009E70CD">
        <w:t>мобильности.</w:t>
      </w:r>
    </w:p>
    <w:p w:rsidR="00C10DDC" w:rsidRDefault="00C10DDC" w:rsidP="00C10DDC">
      <w:pPr>
        <w:pStyle w:val="a7"/>
      </w:pPr>
      <w:r>
        <w:lastRenderedPageBreak/>
        <w:t>В соответствии с Национальной стратегией регионального развития на 2022–2028 годы, а также Программой развития городов – полюсов роста, усиление роли городов как центров экономического роста является ключевым инструментом сокращения территориальных диспропорций и стимулирования устойчивого развития региона.</w:t>
      </w:r>
    </w:p>
    <w:p w:rsidR="00C10DDC" w:rsidRDefault="00C10DDC" w:rsidP="00C10DDC">
      <w:pPr>
        <w:pStyle w:val="a7"/>
      </w:pPr>
      <w:r>
        <w:t>Интервенции в рамках данного приоритетного направления будут сосредоточены на следующих мерах:</w:t>
      </w:r>
    </w:p>
    <w:p w:rsidR="00C10DDC" w:rsidRPr="009E70CD" w:rsidRDefault="00C10DDC" w:rsidP="00C10DDC">
      <w:pPr>
        <w:numPr>
          <w:ilvl w:val="0"/>
          <w:numId w:val="10"/>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b/>
          <w:bCs/>
          <w:sz w:val="24"/>
          <w:szCs w:val="24"/>
          <w:lang w:val="ru-RU" w:eastAsia="ru-RU"/>
        </w:rPr>
        <w:t>Развитие муниципия Комрат как полюса роста регионального значения</w:t>
      </w:r>
      <w:r w:rsidRPr="009E70CD">
        <w:rPr>
          <w:rFonts w:ascii="Times New Roman" w:eastAsiaTheme="minorEastAsia" w:hAnsi="Times New Roman" w:cs="Times New Roman"/>
          <w:sz w:val="24"/>
          <w:szCs w:val="24"/>
          <w:lang w:val="ru-RU" w:eastAsia="ru-RU"/>
        </w:rPr>
        <w:t xml:space="preserve">; </w:t>
      </w:r>
    </w:p>
    <w:p w:rsidR="00C10DDC" w:rsidRPr="009E70CD" w:rsidRDefault="00C10DDC" w:rsidP="00C10DDC">
      <w:pPr>
        <w:numPr>
          <w:ilvl w:val="0"/>
          <w:numId w:val="10"/>
        </w:numPr>
        <w:spacing w:before="100" w:beforeAutospacing="1" w:after="100" w:afterAutospacing="1" w:line="240" w:lineRule="auto"/>
        <w:rPr>
          <w:rFonts w:ascii="Times New Roman" w:eastAsiaTheme="minorEastAsia" w:hAnsi="Times New Roman" w:cs="Times New Roman"/>
          <w:sz w:val="24"/>
          <w:szCs w:val="24"/>
          <w:lang w:val="ru-RU" w:eastAsia="ru-RU"/>
        </w:rPr>
      </w:pPr>
      <w:proofErr w:type="spellStart"/>
      <w:r w:rsidRPr="009E70CD">
        <w:rPr>
          <w:rFonts w:ascii="Times New Roman" w:eastAsiaTheme="minorEastAsia" w:hAnsi="Times New Roman" w:cs="Times New Roman"/>
          <w:b/>
          <w:bCs/>
          <w:sz w:val="24"/>
          <w:szCs w:val="24"/>
          <w:lang w:val="ru-RU" w:eastAsia="ru-RU"/>
        </w:rPr>
        <w:t>Ревитализация</w:t>
      </w:r>
      <w:proofErr w:type="spellEnd"/>
      <w:r w:rsidRPr="009E70CD">
        <w:rPr>
          <w:rFonts w:ascii="Times New Roman" w:eastAsiaTheme="minorEastAsia" w:hAnsi="Times New Roman" w:cs="Times New Roman"/>
          <w:b/>
          <w:bCs/>
          <w:sz w:val="24"/>
          <w:szCs w:val="24"/>
          <w:lang w:val="ru-RU" w:eastAsia="ru-RU"/>
        </w:rPr>
        <w:t xml:space="preserve"> городов и развитие городской инфраструктуры и общественных пространств</w:t>
      </w:r>
      <w:r w:rsidRPr="009E70CD">
        <w:rPr>
          <w:rFonts w:ascii="Times New Roman" w:eastAsiaTheme="minorEastAsia" w:hAnsi="Times New Roman" w:cs="Times New Roman"/>
          <w:sz w:val="24"/>
          <w:szCs w:val="24"/>
          <w:lang w:val="ru-RU" w:eastAsia="ru-RU"/>
        </w:rPr>
        <w:t xml:space="preserve">. </w:t>
      </w:r>
    </w:p>
    <w:p w:rsidR="00C10DDC" w:rsidRPr="009E70CD" w:rsidRDefault="00C10DDC" w:rsidP="00C10DDC">
      <w:pPr>
        <w:pStyle w:val="3"/>
        <w:rPr>
          <w:rFonts w:ascii="Times New Roman" w:eastAsia="Times New Roman" w:hAnsi="Times New Roman" w:cs="Times New Roman"/>
          <w:b/>
          <w:color w:val="000000"/>
          <w:lang w:val="ru-RU"/>
        </w:rPr>
      </w:pPr>
      <w:r w:rsidRPr="009E70CD">
        <w:rPr>
          <w:rFonts w:ascii="Times New Roman" w:eastAsia="Times New Roman" w:hAnsi="Times New Roman" w:cs="Times New Roman"/>
          <w:b/>
          <w:color w:val="000000"/>
          <w:lang w:val="ru-RU"/>
        </w:rPr>
        <w:t>Развитие муниципия Комрат как полюса роста</w:t>
      </w:r>
    </w:p>
    <w:p w:rsidR="00C10DDC" w:rsidRDefault="00C10DDC" w:rsidP="00C10DDC">
      <w:pPr>
        <w:pStyle w:val="a7"/>
      </w:pPr>
      <w:r>
        <w:t>Муниципий Комрат является административным, экономическим и институциональным центром региона, обладающим потенциалом для выполнения функции полюса роста. Развитие данного муниципия направлено на формирование устойчивого центра экономической активности, способного генерировать рост и обеспечивать его распространение на прилегающие территории.</w:t>
      </w:r>
    </w:p>
    <w:p w:rsidR="00C10DDC" w:rsidRDefault="00C10DDC" w:rsidP="00C10DDC">
      <w:pPr>
        <w:pStyle w:val="a7"/>
      </w:pPr>
      <w:r>
        <w:t>В рамках данной меры приоритет будет отдан:</w:t>
      </w:r>
    </w:p>
    <w:p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модернизации городской инфраструктуры и коммунальных систем; </w:t>
      </w:r>
    </w:p>
    <w:p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развитию транспортной и логистической доступности; </w:t>
      </w:r>
    </w:p>
    <w:p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созданию и развитию инфраструктуры поддержки бизнеса; </w:t>
      </w:r>
    </w:p>
    <w:p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привлечению инвестиций и развитию конкурентоспособных секторов экономики; </w:t>
      </w:r>
    </w:p>
    <w:p w:rsidR="00C10DDC" w:rsidRPr="009E70CD" w:rsidRDefault="00C10DDC" w:rsidP="00C10DDC">
      <w:pPr>
        <w:numPr>
          <w:ilvl w:val="0"/>
          <w:numId w:val="11"/>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повышению качества городской среды и уровня предоставляемых услуг. </w:t>
      </w:r>
    </w:p>
    <w:p w:rsidR="00C10DDC" w:rsidRDefault="00C10DDC" w:rsidP="00C10DDC">
      <w:pPr>
        <w:pStyle w:val="a7"/>
      </w:pPr>
      <w:r>
        <w:t>Реализация данных направлений позволит повысить роль муниципия Комрат как центра притяжения инвестиций, рабочей силы и инноваций, а также обеспечить более равномерное территориальное развитие региона.</w:t>
      </w:r>
    </w:p>
    <w:p w:rsidR="00C10DDC" w:rsidRPr="009E70CD" w:rsidRDefault="00C10DDC" w:rsidP="00C10DDC">
      <w:pPr>
        <w:pStyle w:val="3"/>
        <w:rPr>
          <w:rFonts w:ascii="Times New Roman" w:eastAsia="Times New Roman" w:hAnsi="Times New Roman" w:cs="Times New Roman"/>
          <w:b/>
          <w:color w:val="000000"/>
          <w:lang w:val="ru-RU"/>
        </w:rPr>
      </w:pPr>
      <w:proofErr w:type="spellStart"/>
      <w:r w:rsidRPr="009E70CD">
        <w:rPr>
          <w:rFonts w:ascii="Times New Roman" w:eastAsia="Times New Roman" w:hAnsi="Times New Roman" w:cs="Times New Roman"/>
          <w:b/>
          <w:color w:val="000000"/>
          <w:lang w:val="ru-RU"/>
        </w:rPr>
        <w:t>Ревитализация</w:t>
      </w:r>
      <w:proofErr w:type="spellEnd"/>
      <w:r w:rsidRPr="009E70CD">
        <w:rPr>
          <w:rFonts w:ascii="Times New Roman" w:eastAsia="Times New Roman" w:hAnsi="Times New Roman" w:cs="Times New Roman"/>
          <w:b/>
          <w:color w:val="000000"/>
          <w:lang w:val="ru-RU"/>
        </w:rPr>
        <w:t xml:space="preserve"> городов и развитие городской инфраструктуры</w:t>
      </w:r>
    </w:p>
    <w:p w:rsidR="00C10DDC" w:rsidRDefault="00C10DDC" w:rsidP="00C10DDC">
      <w:pPr>
        <w:pStyle w:val="a7"/>
      </w:pPr>
      <w:r>
        <w:t>Города региона играют важную роль в обеспечении социально-экономических функций, однако сталкиваются с рядом системных проблем, включая деградацию отдельных территорий, недостаточное развитие общественных пространств и ограниченные возможности для экономической активности.</w:t>
      </w:r>
    </w:p>
    <w:p w:rsidR="00C10DDC" w:rsidRDefault="00C10DDC" w:rsidP="00C10DDC">
      <w:pPr>
        <w:pStyle w:val="a7"/>
      </w:pPr>
      <w:r>
        <w:t xml:space="preserve">Инструментом решения данных проблем является процесс городской </w:t>
      </w:r>
      <w:proofErr w:type="spellStart"/>
      <w:r>
        <w:t>ревитализации</w:t>
      </w:r>
      <w:proofErr w:type="spellEnd"/>
      <w:r>
        <w:t xml:space="preserve">, направленный на комплексное восстановление и развитие городских территорий. Реализация данного подхода осуществляется через разработку и внедрение Программ </w:t>
      </w:r>
      <w:proofErr w:type="spellStart"/>
      <w:r>
        <w:t>ревитализации</w:t>
      </w:r>
      <w:proofErr w:type="spellEnd"/>
      <w:r>
        <w:t>, которые определяют конкретные зоны вмешательства и приоритетные проекты.</w:t>
      </w:r>
    </w:p>
    <w:p w:rsidR="00C10DDC" w:rsidRDefault="00C10DDC" w:rsidP="00C10DDC">
      <w:pPr>
        <w:pStyle w:val="a7"/>
      </w:pPr>
      <w:r>
        <w:t xml:space="preserve">Так, в рамках Программы </w:t>
      </w:r>
      <w:proofErr w:type="spellStart"/>
      <w:r>
        <w:t>ревитализации</w:t>
      </w:r>
      <w:proofErr w:type="spellEnd"/>
      <w:r>
        <w:t xml:space="preserve"> муниципия Комрат на 2022–2026 годы выделены уязвимые городские зоны и определены приоритетные проекты по модернизации инфраструктуры, развитию общественных пространств и повышению качества жизни населения. Аналогичный подход применяется и в рамках Программы </w:t>
      </w:r>
      <w:proofErr w:type="spellStart"/>
      <w:r>
        <w:t>ревитализации</w:t>
      </w:r>
      <w:proofErr w:type="spellEnd"/>
      <w:r>
        <w:t xml:space="preserve"> муниципия Чадыр-Лунга на 2026–2030 годы, где на основе комплексного анализа были определены проблемные зоны и сформированы меры по их социально-экономическому </w:t>
      </w:r>
      <w:r w:rsidR="009E70CD">
        <w:t>восстановлению.</w:t>
      </w:r>
    </w:p>
    <w:p w:rsidR="00C10DDC" w:rsidRDefault="00C10DDC" w:rsidP="00C10DDC">
      <w:pPr>
        <w:pStyle w:val="a7"/>
      </w:pPr>
      <w:r>
        <w:t>Основные направления интервенций в рамках данной меры включают:</w:t>
      </w:r>
    </w:p>
    <w:p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благоустройство и развитие общественных пространств (парки, зоны отдыха, пешеходные зоны); </w:t>
      </w:r>
    </w:p>
    <w:p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модернизацию городской инфраструктуры и инженерных сетей; </w:t>
      </w:r>
    </w:p>
    <w:p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развитие социальной и культурной инфраструктуры; </w:t>
      </w:r>
    </w:p>
    <w:p w:rsidR="00C10DDC" w:rsidRPr="009E70CD" w:rsidRDefault="00A6684B"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 xml:space="preserve">восстановление </w:t>
      </w:r>
      <w:r w:rsidR="00C10DDC" w:rsidRPr="009E70CD">
        <w:rPr>
          <w:rFonts w:ascii="Times New Roman" w:eastAsiaTheme="minorEastAsia" w:hAnsi="Times New Roman" w:cs="Times New Roman"/>
          <w:sz w:val="24"/>
          <w:szCs w:val="24"/>
          <w:lang w:val="ru-RU" w:eastAsia="ru-RU"/>
        </w:rPr>
        <w:t>функци</w:t>
      </w:r>
      <w:r>
        <w:rPr>
          <w:rFonts w:ascii="Times New Roman" w:eastAsiaTheme="minorEastAsia" w:hAnsi="Times New Roman" w:cs="Times New Roman"/>
          <w:sz w:val="24"/>
          <w:szCs w:val="24"/>
          <w:lang w:val="ru-RU" w:eastAsia="ru-RU"/>
        </w:rPr>
        <w:t>й</w:t>
      </w:r>
      <w:r w:rsidR="00C10DDC" w:rsidRPr="009E70CD">
        <w:rPr>
          <w:rFonts w:ascii="Times New Roman" w:eastAsiaTheme="minorEastAsia" w:hAnsi="Times New Roman" w:cs="Times New Roman"/>
          <w:sz w:val="24"/>
          <w:szCs w:val="24"/>
          <w:lang w:val="ru-RU" w:eastAsia="ru-RU"/>
        </w:rPr>
        <w:t xml:space="preserve"> неиспользуемых или деградированных объектов; </w:t>
      </w:r>
    </w:p>
    <w:p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lastRenderedPageBreak/>
        <w:t xml:space="preserve">улучшение городской мобильности и доступности; </w:t>
      </w:r>
    </w:p>
    <w:p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повышение энергоэффективности и устойчивости городской среды; </w:t>
      </w:r>
    </w:p>
    <w:p w:rsidR="00C10DDC" w:rsidRPr="009E70CD" w:rsidRDefault="00C10DDC" w:rsidP="00C10DDC">
      <w:pPr>
        <w:numPr>
          <w:ilvl w:val="0"/>
          <w:numId w:val="12"/>
        </w:numPr>
        <w:spacing w:before="100" w:beforeAutospacing="1" w:after="100" w:afterAutospacing="1" w:line="240" w:lineRule="auto"/>
        <w:rPr>
          <w:rFonts w:ascii="Times New Roman" w:eastAsiaTheme="minorEastAsia" w:hAnsi="Times New Roman" w:cs="Times New Roman"/>
          <w:sz w:val="24"/>
          <w:szCs w:val="24"/>
          <w:lang w:val="ru-RU" w:eastAsia="ru-RU"/>
        </w:rPr>
      </w:pPr>
      <w:r w:rsidRPr="009E70CD">
        <w:rPr>
          <w:rFonts w:ascii="Times New Roman" w:eastAsiaTheme="minorEastAsia" w:hAnsi="Times New Roman" w:cs="Times New Roman"/>
          <w:sz w:val="24"/>
          <w:szCs w:val="24"/>
          <w:lang w:val="ru-RU" w:eastAsia="ru-RU"/>
        </w:rPr>
        <w:t xml:space="preserve">поддержку экономической активности на уровне городов. </w:t>
      </w:r>
    </w:p>
    <w:p w:rsidR="00C10DDC" w:rsidRDefault="00C10DDC" w:rsidP="00C10DDC">
      <w:pPr>
        <w:pStyle w:val="a7"/>
      </w:pPr>
      <w:r>
        <w:t xml:space="preserve">Реализация мероприятий по городской </w:t>
      </w:r>
      <w:proofErr w:type="spellStart"/>
      <w:r>
        <w:t>ревитализации</w:t>
      </w:r>
      <w:proofErr w:type="spellEnd"/>
      <w:r>
        <w:t xml:space="preserve"> позволит повысить привлекательность городов региона для населения и бизнеса, улучшить качество жизни, а также создать условия для устойчивого экономического роста.</w:t>
      </w:r>
    </w:p>
    <w:p w:rsidR="00C10DDC" w:rsidRDefault="00C10DDC" w:rsidP="00C10DDC">
      <w:pPr>
        <w:pStyle w:val="a7"/>
      </w:pPr>
      <w:r>
        <w:t>Следует отметить, что реализация данных мер требует значительных финансовых ресурсов, превышающих возможности местных бюджетов. В этой связи особое значение приобретает привлечение средств национальных фондов, международных партнёров по развитию, а также использование механизмов государственно-частного партнёрства.</w:t>
      </w:r>
    </w:p>
    <w:p w:rsidR="00C10DDC" w:rsidRPr="009E70CD" w:rsidRDefault="00C10DDC" w:rsidP="008D1CF1">
      <w:pPr>
        <w:shd w:val="clear" w:color="auto" w:fill="FFFFFF"/>
        <w:spacing w:after="0" w:line="360" w:lineRule="auto"/>
        <w:rPr>
          <w:rFonts w:ascii="Times New Roman" w:eastAsia="Times New Roman" w:hAnsi="Times New Roman" w:cs="Times New Roman"/>
          <w:b/>
          <w:bCs/>
          <w:color w:val="000000"/>
          <w:sz w:val="24"/>
          <w:szCs w:val="24"/>
          <w:lang w:val="ru-RU"/>
        </w:rPr>
      </w:pPr>
    </w:p>
    <w:p w:rsidR="008D1CF1" w:rsidRPr="00C5758D" w:rsidRDefault="00C5758D" w:rsidP="00346506">
      <w:pPr>
        <w:spacing w:line="240" w:lineRule="auto"/>
        <w:rPr>
          <w:rFonts w:ascii="Times New Roman" w:eastAsia="Times New Roman" w:hAnsi="Times New Roman" w:cs="Times New Roman"/>
          <w:b/>
          <w:i/>
          <w:color w:val="000000"/>
          <w:sz w:val="24"/>
          <w:szCs w:val="24"/>
          <w:lang w:val="ru-RU"/>
        </w:rPr>
      </w:pPr>
      <w:r w:rsidRPr="00346506">
        <w:rPr>
          <w:rFonts w:ascii="Times New Roman" w:eastAsia="Times New Roman" w:hAnsi="Times New Roman" w:cs="Times New Roman"/>
          <w:b/>
          <w:color w:val="000000"/>
          <w:sz w:val="24"/>
          <w:szCs w:val="24"/>
          <w:lang w:val="ru-RU"/>
        </w:rPr>
        <w:t xml:space="preserve">Приоритетное направление </w:t>
      </w:r>
      <w:r w:rsidR="009E70CD" w:rsidRPr="009E70CD">
        <w:rPr>
          <w:rFonts w:ascii="Times New Roman" w:eastAsia="Times New Roman" w:hAnsi="Times New Roman" w:cs="Times New Roman"/>
          <w:b/>
          <w:color w:val="000000"/>
          <w:sz w:val="24"/>
          <w:szCs w:val="24"/>
          <w:lang w:val="ru-RU"/>
        </w:rPr>
        <w:t xml:space="preserve">1.2 </w:t>
      </w:r>
      <w:r>
        <w:rPr>
          <w:rFonts w:ascii="Times New Roman" w:eastAsia="Times New Roman" w:hAnsi="Times New Roman" w:cs="Times New Roman"/>
          <w:b/>
          <w:color w:val="000000"/>
          <w:sz w:val="24"/>
          <w:szCs w:val="24"/>
          <w:lang w:val="ru-RU"/>
        </w:rPr>
        <w:t xml:space="preserve">   </w:t>
      </w:r>
      <w:r w:rsidR="009E70CD" w:rsidRPr="00C5758D">
        <w:rPr>
          <w:rFonts w:ascii="Times New Roman" w:eastAsia="Times New Roman" w:hAnsi="Times New Roman" w:cs="Times New Roman"/>
          <w:b/>
          <w:i/>
          <w:color w:val="000000"/>
          <w:sz w:val="24"/>
          <w:szCs w:val="24"/>
          <w:lang w:val="ru-RU"/>
        </w:rPr>
        <w:t>Улучшение предпринимательской среды в регионе развития АТО Гагаузия</w:t>
      </w:r>
    </w:p>
    <w:p w:rsidR="009E70CD" w:rsidRPr="009E70CD" w:rsidRDefault="009E70CD"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Развитие конкурентоспособной региональной экономики напрямую зависит от уровня развития предпринимательства и качества бизнес-среды. Малые и средние предприятия составляют основу экономики региона развития АТО Гагаузия, однако их потенциал остаётся недостаточно реализованным вследствие ограниченного доступа к финансированию, низкого уровня предпринимательских компетенций, слабого развития инфраструктуры поддержки бизнеса, а также ограниченной интеграции инновационных решений в экономическую деятельность.</w:t>
      </w:r>
    </w:p>
    <w:p w:rsidR="009E70CD" w:rsidRPr="009E70CD" w:rsidRDefault="009E70CD"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Дополнительными вызовами выступают узкая структура экономики с преобладанием секторов с низкой добавленной стоимостью, недостаточная инвестиционная привлекательность региона, а также ограниченные возможности для развития новых видов экономической деятельности, включая туризм и креативные индустрии.</w:t>
      </w:r>
    </w:p>
    <w:p w:rsidR="009E70CD" w:rsidRPr="009E70CD" w:rsidRDefault="009E70CD"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В этих условиях ключевым приоритетом является формирование благоприятной предпринимательской среды, способной стимулировать деловую активность, привлекать инвестиции, поддерживать инновации и способствовать созданию устойчивых рабочих мест.</w:t>
      </w:r>
    </w:p>
    <w:p w:rsidR="009E70CD" w:rsidRPr="009E70CD" w:rsidRDefault="009E70CD"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Интервенции в рамках данного приоритетного направления будут сосредоточены на двух основных мерах:</w:t>
      </w:r>
    </w:p>
    <w:p w:rsidR="009E70CD" w:rsidRPr="009E70CD" w:rsidRDefault="009E70CD" w:rsidP="009E70CD">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bCs/>
          <w:sz w:val="24"/>
          <w:szCs w:val="24"/>
          <w:lang w:val="ru-RU" w:eastAsia="ru-RU"/>
        </w:rPr>
        <w:t>Развитие предпринимательства и поддержка бизнеса</w:t>
      </w:r>
      <w:r w:rsidRPr="009E70CD">
        <w:rPr>
          <w:rFonts w:ascii="Times New Roman" w:eastAsia="Times New Roman" w:hAnsi="Times New Roman" w:cs="Times New Roman"/>
          <w:sz w:val="24"/>
          <w:szCs w:val="24"/>
          <w:lang w:val="ru-RU" w:eastAsia="ru-RU"/>
        </w:rPr>
        <w:t xml:space="preserve">; </w:t>
      </w:r>
    </w:p>
    <w:p w:rsidR="00121584" w:rsidRDefault="009E70CD" w:rsidP="00121584">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bCs/>
          <w:sz w:val="24"/>
          <w:szCs w:val="24"/>
          <w:lang w:val="ru-RU" w:eastAsia="ru-RU"/>
        </w:rPr>
        <w:t>Повышение туристической привлекательности региона</w:t>
      </w:r>
      <w:r w:rsidRPr="009E70CD">
        <w:rPr>
          <w:rFonts w:ascii="Times New Roman" w:eastAsia="Times New Roman" w:hAnsi="Times New Roman" w:cs="Times New Roman"/>
          <w:sz w:val="24"/>
          <w:szCs w:val="24"/>
          <w:lang w:val="ru-RU" w:eastAsia="ru-RU"/>
        </w:rPr>
        <w:t xml:space="preserve">. </w:t>
      </w:r>
    </w:p>
    <w:p w:rsidR="009E70CD" w:rsidRPr="009E70CD" w:rsidRDefault="009E70CD" w:rsidP="00121584">
      <w:p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b/>
          <w:color w:val="000000"/>
          <w:sz w:val="24"/>
          <w:szCs w:val="24"/>
          <w:lang w:val="ru-RU"/>
        </w:rPr>
        <w:t>Развитие предпринимательства и поддержка бизнеса</w:t>
      </w:r>
    </w:p>
    <w:p w:rsidR="009E70CD" w:rsidRPr="009E70CD" w:rsidRDefault="009E70CD" w:rsidP="009E70CD">
      <w:p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Создание устойчивой предпринимательской экосистемы требует комплексных мер, направленных на развитие человеческого капитала, инфраструктуры поддержки бизнеса и стимулирование инновационной активности.</w:t>
      </w:r>
    </w:p>
    <w:p w:rsidR="009E70CD" w:rsidRPr="009E70CD" w:rsidRDefault="009E70CD" w:rsidP="009E70CD">
      <w:p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В рамках данной меры приоритет будет отдан следующим направлениям:</w:t>
      </w:r>
    </w:p>
    <w:p w:rsidR="009E70CD" w:rsidRPr="009E70CD" w:rsidRDefault="009E70CD" w:rsidP="009E70CD">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развитие предпринимательских навыков и компетенций через программы обучения, наставничества и консультирования; </w:t>
      </w:r>
    </w:p>
    <w:p w:rsidR="009E70CD" w:rsidRPr="009E70CD" w:rsidRDefault="009E70CD" w:rsidP="009E70CD">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развитие инфраструктуры поддержки бизнеса (индустриальные площадки, агропромышленные кластеры, логистические решения); </w:t>
      </w:r>
    </w:p>
    <w:p w:rsidR="009E70CD" w:rsidRPr="009E70CD" w:rsidRDefault="009E70CD" w:rsidP="009E70CD">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lastRenderedPageBreak/>
        <w:t xml:space="preserve">стимулирование внедрения инноваций и цифровизации в деятельность предприятий; </w:t>
      </w:r>
    </w:p>
    <w:p w:rsidR="00121584" w:rsidRDefault="009E70CD" w:rsidP="00121584">
      <w:pPr>
        <w:numPr>
          <w:ilvl w:val="0"/>
          <w:numId w:val="14"/>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организация мероприятий по продвижению инвестиционного и экономического потенциала региона (экономические форумы, инвестиционные платформы, выставки, бизнес-миссии). </w:t>
      </w:r>
    </w:p>
    <w:p w:rsidR="009E70CD" w:rsidRPr="009E70CD" w:rsidRDefault="009E70CD" w:rsidP="00121584">
      <w:pPr>
        <w:spacing w:before="100" w:beforeAutospacing="1" w:after="100" w:afterAutospacing="1" w:line="240" w:lineRule="auto"/>
        <w:rPr>
          <w:rFonts w:ascii="Times New Roman" w:eastAsia="Times New Roman" w:hAnsi="Times New Roman" w:cs="Times New Roman"/>
          <w:b/>
          <w:color w:val="000000"/>
          <w:sz w:val="24"/>
          <w:szCs w:val="24"/>
          <w:lang w:val="ru-RU"/>
        </w:rPr>
      </w:pPr>
      <w:r w:rsidRPr="009E70CD">
        <w:rPr>
          <w:rFonts w:ascii="Times New Roman" w:eastAsia="Times New Roman" w:hAnsi="Times New Roman" w:cs="Times New Roman"/>
          <w:b/>
          <w:color w:val="000000"/>
          <w:sz w:val="24"/>
          <w:szCs w:val="24"/>
          <w:lang w:val="ru-RU"/>
        </w:rPr>
        <w:t>Повышение туристической привлекательности региона</w:t>
      </w:r>
    </w:p>
    <w:p w:rsidR="009E70CD" w:rsidRPr="009E70CD" w:rsidRDefault="009E70CD"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Туризм является перспективным направлением диверсификации экономики региона развития АТО Гагаузия, обладающего значительным потенциалом в сфере культурного, этнографического, гастрономического и сельского туризма. Вместе с тем, туристический сектор остаётся недостаточно развитым, что обусловлено ограниченной инфраструктурой, слабой узнаваемостью региона и недостаточным уровнем развития туристических услуг.</w:t>
      </w:r>
    </w:p>
    <w:p w:rsidR="009E70CD" w:rsidRPr="009E70CD" w:rsidRDefault="009E70CD" w:rsidP="0012158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В целях раскрытия туристического потенциала региона интервенции будут направлены на:</w:t>
      </w:r>
    </w:p>
    <w:p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создание, модернизацию и расширение инфраструктуры туризма и отдыха; </w:t>
      </w:r>
    </w:p>
    <w:p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улучшение транспортной доступности туристических объектов и развитие сопутствующей инфраструктуры; </w:t>
      </w:r>
    </w:p>
    <w:p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благоустройство и развитие туристических достопримечательностей, включая природные и культурные объекты; </w:t>
      </w:r>
    </w:p>
    <w:p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 xml:space="preserve">развитие туристических маршрутов и продуктов, основанных на региональной идентичности; </w:t>
      </w:r>
    </w:p>
    <w:p w:rsidR="009E70CD" w:rsidRPr="009E70CD" w:rsidRDefault="009E70CD" w:rsidP="009E70CD">
      <w:pPr>
        <w:numPr>
          <w:ilvl w:val="0"/>
          <w:numId w:val="15"/>
        </w:numPr>
        <w:spacing w:before="100" w:beforeAutospacing="1" w:after="100" w:afterAutospacing="1" w:line="240" w:lineRule="auto"/>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продвижение туристического имиджа региона на национ</w:t>
      </w:r>
      <w:r w:rsidR="00121584">
        <w:rPr>
          <w:rFonts w:ascii="Times New Roman" w:eastAsia="Times New Roman" w:hAnsi="Times New Roman" w:cs="Times New Roman"/>
          <w:sz w:val="24"/>
          <w:szCs w:val="24"/>
          <w:lang w:val="ru-RU" w:eastAsia="ru-RU"/>
        </w:rPr>
        <w:t>альном и международном уровнях.</w:t>
      </w:r>
    </w:p>
    <w:p w:rsidR="009E70CD" w:rsidRPr="009E70CD" w:rsidRDefault="009E70CD"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Реализация данного приоритетного направления будет способствовать формированию устойчивой и конкурентоспособной экономики региона, повышению инвестиционной привлекательности, созданию новых рабочих мест и улучшению качества жизни населения.</w:t>
      </w:r>
    </w:p>
    <w:p w:rsidR="009E70CD" w:rsidRPr="009E70CD" w:rsidRDefault="009E70CD"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E70CD">
        <w:rPr>
          <w:rFonts w:ascii="Times New Roman" w:eastAsia="Times New Roman" w:hAnsi="Times New Roman" w:cs="Times New Roman"/>
          <w:sz w:val="24"/>
          <w:szCs w:val="24"/>
          <w:lang w:val="ru-RU" w:eastAsia="ru-RU"/>
        </w:rPr>
        <w:t>Комплексный подход к развитию предпринимательской среды и туристического сектора обеспечит диверсификацию экономики региона и усилит его позиции в национальной экономической системе.</w:t>
      </w:r>
    </w:p>
    <w:p w:rsidR="009E70CD" w:rsidRPr="00346506" w:rsidRDefault="00346506" w:rsidP="00346506">
      <w:pPr>
        <w:spacing w:line="240" w:lineRule="auto"/>
        <w:rPr>
          <w:rFonts w:ascii="Times New Roman" w:eastAsia="Times New Roman" w:hAnsi="Times New Roman" w:cs="Times New Roman"/>
          <w:b/>
          <w:color w:val="000000"/>
          <w:sz w:val="24"/>
          <w:szCs w:val="24"/>
          <w:lang w:val="ru-RU"/>
        </w:rPr>
      </w:pPr>
      <w:r w:rsidRPr="00346506">
        <w:rPr>
          <w:rFonts w:ascii="Times New Roman" w:eastAsia="Times New Roman" w:hAnsi="Times New Roman" w:cs="Times New Roman"/>
          <w:b/>
          <w:color w:val="000000"/>
          <w:sz w:val="24"/>
          <w:szCs w:val="24"/>
          <w:lang w:val="ru-RU"/>
        </w:rPr>
        <w:t>Приоритетное направление</w:t>
      </w:r>
      <w:r w:rsidR="002423ED" w:rsidRPr="00346506">
        <w:rPr>
          <w:rFonts w:ascii="Times New Roman" w:eastAsia="Times New Roman" w:hAnsi="Times New Roman" w:cs="Times New Roman"/>
          <w:b/>
          <w:color w:val="000000"/>
          <w:sz w:val="24"/>
          <w:szCs w:val="24"/>
          <w:lang w:val="ru-RU"/>
        </w:rPr>
        <w:t xml:space="preserve"> </w:t>
      </w:r>
      <w:r w:rsidR="00292B85" w:rsidRPr="00346506">
        <w:rPr>
          <w:rFonts w:ascii="Times New Roman" w:eastAsia="Times New Roman" w:hAnsi="Times New Roman" w:cs="Times New Roman"/>
          <w:b/>
          <w:color w:val="000000"/>
          <w:sz w:val="24"/>
          <w:szCs w:val="24"/>
          <w:lang w:val="ru-RU"/>
        </w:rPr>
        <w:t>1.3</w:t>
      </w:r>
      <w:r w:rsidRPr="00346506">
        <w:rPr>
          <w:rFonts w:ascii="Times New Roman" w:eastAsia="Times New Roman" w:hAnsi="Times New Roman" w:cs="Times New Roman"/>
          <w:b/>
          <w:color w:val="000000"/>
          <w:sz w:val="24"/>
          <w:szCs w:val="24"/>
          <w:lang w:val="ru-RU"/>
        </w:rPr>
        <w:t xml:space="preserve">. </w:t>
      </w:r>
      <w:r w:rsidR="00292B85" w:rsidRPr="00346506">
        <w:rPr>
          <w:rFonts w:ascii="Times New Roman" w:eastAsia="Times New Roman" w:hAnsi="Times New Roman" w:cs="Times New Roman"/>
          <w:b/>
          <w:i/>
          <w:color w:val="000000"/>
          <w:sz w:val="24"/>
          <w:szCs w:val="24"/>
          <w:lang w:val="ru-RU"/>
        </w:rPr>
        <w:t>Продвижение приоритетов умной специализации в регионе развития АТО Гагаузия</w:t>
      </w:r>
    </w:p>
    <w:p w:rsidR="00564734" w:rsidRPr="00564734" w:rsidRDefault="00564734"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Продвижение умной специализации направлено на повышение конкурентоспособности региона за счёт развития отраслей, обладающих наибольшим потенциалом роста и добавленной стоимости. Данный подход предполагает концентрацию ресурсов на приоритетных направлениях, основанных на существующих конкурентных преимуществах региона.</w:t>
      </w:r>
    </w:p>
    <w:p w:rsidR="00564734" w:rsidRPr="00564734" w:rsidRDefault="00564734" w:rsidP="002423ED">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С учётом экономического профиля АТО Гагаузия, ключевыми направлениями умной специализации являются:</w:t>
      </w:r>
    </w:p>
    <w:p w:rsidR="00564734" w:rsidRPr="00564734" w:rsidRDefault="00564734" w:rsidP="0056473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агропромышленный сектор и переработка сельскохозяйственной продукции; </w:t>
      </w:r>
    </w:p>
    <w:p w:rsidR="00564734" w:rsidRPr="00564734" w:rsidRDefault="00564734" w:rsidP="0056473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пищевая промышленность и производство напитков; </w:t>
      </w:r>
    </w:p>
    <w:p w:rsidR="00564734" w:rsidRPr="00564734" w:rsidRDefault="00564734" w:rsidP="0056473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туризм и услуги, основанные на региональной идентичности; </w:t>
      </w:r>
    </w:p>
    <w:p w:rsidR="00564734" w:rsidRPr="00564734" w:rsidRDefault="00564734" w:rsidP="0056473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лёгкая промышленность и переработка сырья. </w:t>
      </w:r>
    </w:p>
    <w:p w:rsidR="00564734" w:rsidRPr="00564734" w:rsidRDefault="00564734" w:rsidP="0056473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lastRenderedPageBreak/>
        <w:t>Интервенции в рамках данного приоритетного направления будут сосредоточены на:</w:t>
      </w:r>
    </w:p>
    <w:p w:rsidR="00564734" w:rsidRPr="00564734" w:rsidRDefault="00564734" w:rsidP="0056473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развитии сотрудничества между бизнесом, образовательными учреждениями и органами публичного управления; </w:t>
      </w:r>
    </w:p>
    <w:p w:rsidR="00564734" w:rsidRPr="00564734" w:rsidRDefault="00564734" w:rsidP="0056473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поддержке инновационной деятельности и внедрения современных технологий; </w:t>
      </w:r>
    </w:p>
    <w:p w:rsidR="00564734" w:rsidRPr="00564734" w:rsidRDefault="00564734" w:rsidP="0056473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стимулировании предпринимательских инициатив в приоритетных секторах; </w:t>
      </w:r>
    </w:p>
    <w:p w:rsidR="00564734" w:rsidRPr="00564734" w:rsidRDefault="00564734" w:rsidP="0056473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 xml:space="preserve">продвижении концепции умной специализации через обучающие и информационные мероприятия. </w:t>
      </w:r>
    </w:p>
    <w:p w:rsidR="0009536B" w:rsidRPr="00564734" w:rsidRDefault="00564734" w:rsidP="00564734">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564734">
        <w:rPr>
          <w:rFonts w:ascii="Times New Roman" w:eastAsia="Times New Roman" w:hAnsi="Times New Roman" w:cs="Times New Roman"/>
          <w:sz w:val="24"/>
          <w:szCs w:val="24"/>
          <w:lang w:val="ru-RU" w:eastAsia="ru-RU"/>
        </w:rPr>
        <w:t>Реализация данного направления будет способствовать формированию инновационной экономики региона, повышению инвестиционной привлекательности и обеспечению устойчивого экономического роста.</w:t>
      </w:r>
    </w:p>
    <w:p w:rsidR="0009536B" w:rsidRPr="00346506" w:rsidRDefault="00346506" w:rsidP="00346506">
      <w:pPr>
        <w:rPr>
          <w:rFonts w:ascii="Times New Roman" w:eastAsia="Times New Roman" w:hAnsi="Times New Roman" w:cs="Times New Roman"/>
          <w:b/>
          <w:i/>
          <w:color w:val="000000"/>
          <w:sz w:val="24"/>
          <w:szCs w:val="24"/>
          <w:lang w:val="ru-RU"/>
        </w:rPr>
      </w:pPr>
      <w:r w:rsidRPr="00346506">
        <w:rPr>
          <w:rFonts w:ascii="Times New Roman" w:eastAsia="Times New Roman" w:hAnsi="Times New Roman" w:cs="Times New Roman"/>
          <w:b/>
          <w:color w:val="000000"/>
          <w:sz w:val="24"/>
          <w:szCs w:val="24"/>
          <w:lang w:val="ru-RU"/>
        </w:rPr>
        <w:t xml:space="preserve">Приоритетное направление 1.4.  </w:t>
      </w:r>
      <w:r w:rsidR="0009536B" w:rsidRPr="00346506">
        <w:rPr>
          <w:rFonts w:ascii="Times New Roman" w:eastAsia="Times New Roman" w:hAnsi="Times New Roman" w:cs="Times New Roman"/>
          <w:b/>
          <w:i/>
          <w:color w:val="000000"/>
          <w:sz w:val="24"/>
          <w:szCs w:val="24"/>
          <w:lang w:val="ru-RU"/>
        </w:rPr>
        <w:t>Поддержка регионального и приграничного сотрудничества</w:t>
      </w:r>
    </w:p>
    <w:p w:rsidR="009D7FB7" w:rsidRPr="009D7FB7" w:rsidRDefault="009D7FB7"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Региональное и приграничное сотрудничество является важным инструментом социально-экономического развития региона развития АТО Гагаузия, способствующим интеграции в европейское пространство, привлечению внешних ресурсов и обмену опытом.</w:t>
      </w:r>
    </w:p>
    <w:p w:rsidR="009D7FB7" w:rsidRPr="009D7FB7" w:rsidRDefault="009D7FB7"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В условиях реализации Соглашения об ассоциации Республика Молдова – Европейский Союз особое значение приобретает участие региона в программах трансграничного, транснационального и межрегионального сотрудничества, направленных на реализацию совместных проектов и инициатив.</w:t>
      </w:r>
    </w:p>
    <w:p w:rsidR="009D7FB7" w:rsidRPr="009D7FB7" w:rsidRDefault="009D7FB7" w:rsidP="009D7FB7">
      <w:p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В рамках данного приоритетного направления будут поддерживаться следующие меры:</w:t>
      </w:r>
    </w:p>
    <w:p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участие в программах международного сотрудничества (</w:t>
      </w:r>
      <w:proofErr w:type="spellStart"/>
      <w:r w:rsidRPr="009D7FB7">
        <w:rPr>
          <w:rFonts w:ascii="Times New Roman" w:eastAsia="Times New Roman" w:hAnsi="Times New Roman" w:cs="Times New Roman"/>
          <w:sz w:val="24"/>
          <w:szCs w:val="24"/>
          <w:lang w:val="ru-RU" w:eastAsia="ru-RU"/>
        </w:rPr>
        <w:t>Interreg</w:t>
      </w:r>
      <w:proofErr w:type="spellEnd"/>
      <w:r w:rsidRPr="009D7FB7">
        <w:rPr>
          <w:rFonts w:ascii="Times New Roman" w:eastAsia="Times New Roman" w:hAnsi="Times New Roman" w:cs="Times New Roman"/>
          <w:sz w:val="24"/>
          <w:szCs w:val="24"/>
          <w:lang w:val="ru-RU" w:eastAsia="ru-RU"/>
        </w:rPr>
        <w:t xml:space="preserve">, трансграничные и транснациональные программы); </w:t>
      </w:r>
    </w:p>
    <w:p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 xml:space="preserve">развитие партнёрств с регионами и организациями из стран Европейского Союза и соседних государств; </w:t>
      </w:r>
    </w:p>
    <w:p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 xml:space="preserve">содействие разработке и продвижению совместных проектных инициатив; </w:t>
      </w:r>
    </w:p>
    <w:p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 xml:space="preserve">участие в национальных и </w:t>
      </w:r>
      <w:r w:rsidR="0009536B" w:rsidRPr="009D7FB7">
        <w:rPr>
          <w:rFonts w:ascii="Times New Roman" w:eastAsia="Times New Roman" w:hAnsi="Times New Roman" w:cs="Times New Roman"/>
          <w:sz w:val="24"/>
          <w:szCs w:val="24"/>
          <w:lang w:val="ru-RU" w:eastAsia="ru-RU"/>
        </w:rPr>
        <w:t>международных координационных платформах,</w:t>
      </w:r>
      <w:r w:rsidRPr="009D7FB7">
        <w:rPr>
          <w:rFonts w:ascii="Times New Roman" w:eastAsia="Times New Roman" w:hAnsi="Times New Roman" w:cs="Times New Roman"/>
          <w:sz w:val="24"/>
          <w:szCs w:val="24"/>
          <w:lang w:val="ru-RU" w:eastAsia="ru-RU"/>
        </w:rPr>
        <w:t xml:space="preserve"> и рабочих группах; </w:t>
      </w:r>
    </w:p>
    <w:p w:rsidR="009D7FB7" w:rsidRPr="009D7FB7" w:rsidRDefault="009D7FB7" w:rsidP="009D7FB7">
      <w:pPr>
        <w:numPr>
          <w:ilvl w:val="0"/>
          <w:numId w:val="18"/>
        </w:numPr>
        <w:spacing w:before="100" w:beforeAutospacing="1" w:after="100" w:afterAutospacing="1" w:line="240" w:lineRule="auto"/>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 xml:space="preserve">обмен опытом, знаниями и лучшими практиками в области регионального развития. </w:t>
      </w:r>
    </w:p>
    <w:p w:rsidR="009D7FB7" w:rsidRPr="009D7FB7" w:rsidRDefault="009D7FB7"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9D7FB7">
        <w:rPr>
          <w:rFonts w:ascii="Times New Roman" w:eastAsia="Times New Roman" w:hAnsi="Times New Roman" w:cs="Times New Roman"/>
          <w:sz w:val="24"/>
          <w:szCs w:val="24"/>
          <w:lang w:val="ru-RU" w:eastAsia="ru-RU"/>
        </w:rPr>
        <w:t>Реализация данных мер будет способствовать повышению институционального потенциала региона, привлечению внешнего финансирования, а также укреплению экономических и социальных связей на межрегиональном и международном уровнях.</w:t>
      </w:r>
    </w:p>
    <w:p w:rsidR="008D1CF1" w:rsidRDefault="008D1CF1" w:rsidP="008D1CF1">
      <w:pPr>
        <w:shd w:val="clear" w:color="auto" w:fill="FFFFFF"/>
        <w:spacing w:after="0" w:line="360" w:lineRule="auto"/>
        <w:rPr>
          <w:rFonts w:ascii="Times New Roman" w:eastAsia="Times New Roman" w:hAnsi="Times New Roman" w:cs="Times New Roman"/>
          <w:b/>
          <w:bCs/>
          <w:color w:val="000000"/>
          <w:sz w:val="24"/>
          <w:szCs w:val="24"/>
          <w:lang w:val="ru-RU"/>
        </w:rPr>
      </w:pPr>
    </w:p>
    <w:p w:rsidR="008D1CF1" w:rsidRDefault="005C4BE6" w:rsidP="008D1CF1">
      <w:pPr>
        <w:shd w:val="clear" w:color="auto" w:fill="FFFFFF"/>
        <w:spacing w:after="0" w:line="360" w:lineRule="auto"/>
        <w:rPr>
          <w:rFonts w:ascii="Times New Roman" w:eastAsia="Times New Roman" w:hAnsi="Times New Roman" w:cs="Times New Roman"/>
          <w:b/>
          <w:bCs/>
          <w:color w:val="000000"/>
          <w:sz w:val="24"/>
          <w:szCs w:val="24"/>
          <w:lang w:val="ru-RU"/>
        </w:rPr>
      </w:pPr>
      <w:r w:rsidRPr="005C4BE6">
        <w:rPr>
          <w:rFonts w:ascii="Times New Roman" w:eastAsia="Times New Roman" w:hAnsi="Times New Roman" w:cs="Times New Roman"/>
          <w:b/>
          <w:bCs/>
          <w:color w:val="2F2F2F"/>
          <w:sz w:val="24"/>
          <w:szCs w:val="24"/>
          <w:lang w:val="ru-RU"/>
        </w:rPr>
        <w:t>3.</w:t>
      </w:r>
      <w:r w:rsidR="008D1CF1">
        <w:rPr>
          <w:rFonts w:ascii="Times New Roman" w:eastAsia="Times New Roman" w:hAnsi="Times New Roman" w:cs="Times New Roman"/>
          <w:b/>
          <w:bCs/>
          <w:color w:val="2F2F2F"/>
          <w:sz w:val="24"/>
          <w:szCs w:val="24"/>
          <w:lang w:val="ru-RU"/>
        </w:rPr>
        <w:t xml:space="preserve">2.  </w:t>
      </w:r>
      <w:r w:rsidRPr="005C4BE6">
        <w:rPr>
          <w:rFonts w:ascii="Times New Roman" w:eastAsia="Times New Roman" w:hAnsi="Times New Roman" w:cs="Times New Roman"/>
          <w:b/>
          <w:bCs/>
          <w:color w:val="2F2F2F"/>
          <w:sz w:val="24"/>
          <w:szCs w:val="24"/>
          <w:u w:val="single"/>
          <w:lang w:val="ru-RU"/>
        </w:rPr>
        <w:t>Общая цель 2</w:t>
      </w:r>
      <w:r w:rsidR="002423ED">
        <w:rPr>
          <w:rFonts w:ascii="Times New Roman" w:eastAsia="Times New Roman" w:hAnsi="Times New Roman" w:cs="Times New Roman"/>
          <w:b/>
          <w:bCs/>
          <w:color w:val="2F2F2F"/>
          <w:sz w:val="24"/>
          <w:szCs w:val="24"/>
          <w:u w:val="single"/>
          <w:lang w:val="ru-RU"/>
        </w:rPr>
        <w:t>:</w:t>
      </w:r>
      <w:r w:rsidRPr="005C4BE6">
        <w:rPr>
          <w:rFonts w:ascii="Times New Roman" w:eastAsia="Times New Roman" w:hAnsi="Times New Roman" w:cs="Times New Roman"/>
          <w:b/>
          <w:bCs/>
          <w:color w:val="2F2F2F"/>
          <w:sz w:val="24"/>
          <w:szCs w:val="24"/>
          <w:u w:val="single"/>
          <w:lang w:val="ru-RU"/>
        </w:rPr>
        <w:t xml:space="preserve"> </w:t>
      </w:r>
      <w:r w:rsidR="008D1CF1" w:rsidRPr="005C4BE6">
        <w:rPr>
          <w:rFonts w:ascii="Times New Roman" w:eastAsia="Times New Roman" w:hAnsi="Times New Roman" w:cs="Times New Roman"/>
          <w:b/>
          <w:bCs/>
          <w:color w:val="000000"/>
          <w:sz w:val="24"/>
          <w:szCs w:val="24"/>
          <w:u w:val="single"/>
          <w:lang w:val="ru-RU"/>
        </w:rPr>
        <w:t>Совершенствование региональной инфраструктуры социально-экономического и пространственного развития</w:t>
      </w:r>
      <w:r w:rsidR="008D1CF1" w:rsidRPr="00A12517">
        <w:rPr>
          <w:rFonts w:ascii="Times New Roman" w:eastAsia="Times New Roman" w:hAnsi="Times New Roman" w:cs="Times New Roman"/>
          <w:b/>
          <w:bCs/>
          <w:color w:val="000000"/>
          <w:sz w:val="24"/>
          <w:szCs w:val="24"/>
          <w:lang w:val="ru-RU"/>
        </w:rPr>
        <w:t xml:space="preserve"> </w:t>
      </w:r>
    </w:p>
    <w:p w:rsidR="00C43C7A" w:rsidRPr="00C43C7A" w:rsidRDefault="00C43C7A"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Регион развития АТО Гагаузия характеризуется выраженными диспропорциями в уровне развития между городскими и сельскими территориями, что обусловлено высокой долей сельского населения, ограниченной экономической базой и недостаточным уровнем развития инфраструктуры. Значительная часть сельских населённых пунктов сталкивается </w:t>
      </w:r>
      <w:r w:rsidRPr="00C43C7A">
        <w:rPr>
          <w:rFonts w:ascii="Times New Roman" w:eastAsia="Times New Roman" w:hAnsi="Times New Roman" w:cs="Times New Roman"/>
          <w:sz w:val="24"/>
          <w:szCs w:val="24"/>
          <w:lang w:val="ru-RU" w:eastAsia="ru-RU"/>
        </w:rPr>
        <w:lastRenderedPageBreak/>
        <w:t>с проблемами изношенности инженерных сетей, ограниченного доступа к качественным публичным услугам и низкой инвестиционной привлекательности.</w:t>
      </w:r>
    </w:p>
    <w:p w:rsidR="00C43C7A" w:rsidRPr="00C43C7A" w:rsidRDefault="00C43C7A"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Существующие территориальные различия усугубляются ограниченными финансовыми и административными ресурсами органов местного публичного управления, что сдерживает реализацию инфраструктурных проектов и снижает эффективность местной политики развития. В то же время высокая фрагментация административно-территориальной структуры затрудняет координацию и реализацию комплексных решений на региональном уровне.</w:t>
      </w:r>
    </w:p>
    <w:p w:rsidR="00C43C7A" w:rsidRPr="00C43C7A" w:rsidRDefault="00C43C7A" w:rsidP="002423E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В этих условиях ключевой задачей является повышение территориальной сплочённости региона за счёт развития и модернизации инфраструктуры, обеспечивающей равный доступ населения к базовым услугам и создающей условия для устойчивого экономического развития.</w:t>
      </w:r>
    </w:p>
    <w:p w:rsidR="00C43C7A" w:rsidRPr="00C43C7A" w:rsidRDefault="00C43C7A" w:rsidP="00C43C7A">
      <w:p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В рамках данного направления приоритет будет отдан:</w:t>
      </w:r>
    </w:p>
    <w:p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развитию и модернизации систем водоснабжения и канализации; </w:t>
      </w:r>
    </w:p>
    <w:p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улучшению транспортной и дорожной инфраструктуры, обеспечивающей связанность населённых пунктов; </w:t>
      </w:r>
    </w:p>
    <w:p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развитию инфраструктуры, способствующей занятости и мобильности рабочей силы; </w:t>
      </w:r>
    </w:p>
    <w:p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повышению энергоэффективности общественных зданий и инфраструктуры; </w:t>
      </w:r>
    </w:p>
    <w:p w:rsidR="00C43C7A" w:rsidRPr="00C43C7A" w:rsidRDefault="00C43C7A" w:rsidP="00C43C7A">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 xml:space="preserve">развитию социальной инфраструктуры и улучшению доступа к базовым услугам. </w:t>
      </w:r>
    </w:p>
    <w:p w:rsidR="0009536B" w:rsidRDefault="00C43C7A" w:rsidP="004A08E1">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C43C7A">
        <w:rPr>
          <w:rFonts w:ascii="Times New Roman" w:eastAsia="Times New Roman" w:hAnsi="Times New Roman" w:cs="Times New Roman"/>
          <w:sz w:val="24"/>
          <w:szCs w:val="24"/>
          <w:lang w:val="ru-RU" w:eastAsia="ru-RU"/>
        </w:rPr>
        <w:t>Реализация данных мер будет способствовать снижению межтерриториальных диспропорций, повышению качества жизни населения, особенно в сельской местности, а также формированию условий для сбалансированного и устойчивого развития региона.</w:t>
      </w:r>
    </w:p>
    <w:p w:rsidR="00C5758D" w:rsidRPr="00C43C7A" w:rsidRDefault="00C5758D" w:rsidP="004A08E1">
      <w:pPr>
        <w:spacing w:before="100" w:beforeAutospacing="1" w:after="100" w:afterAutospacing="1" w:line="240" w:lineRule="auto"/>
        <w:jc w:val="both"/>
        <w:rPr>
          <w:rFonts w:ascii="Times New Roman" w:eastAsia="Times New Roman" w:hAnsi="Times New Roman" w:cs="Times New Roman"/>
          <w:sz w:val="24"/>
          <w:szCs w:val="24"/>
          <w:lang w:val="ru-RU" w:eastAsia="ru-RU"/>
        </w:rPr>
      </w:pPr>
    </w:p>
    <w:p w:rsidR="00C5758D" w:rsidRPr="00C5758D" w:rsidRDefault="00346506" w:rsidP="00C5758D">
      <w:pPr>
        <w:shd w:val="clear" w:color="auto" w:fill="FFFFFF"/>
        <w:spacing w:after="0" w:line="360" w:lineRule="auto"/>
        <w:rPr>
          <w:rFonts w:ascii="Times New Roman" w:eastAsia="Times New Roman" w:hAnsi="Times New Roman" w:cs="Times New Roman"/>
          <w:b/>
          <w:bCs/>
          <w:i/>
          <w:color w:val="000000"/>
          <w:sz w:val="24"/>
          <w:szCs w:val="24"/>
          <w:lang w:val="ru-RU"/>
        </w:rPr>
      </w:pPr>
      <w:r w:rsidRPr="00346506">
        <w:rPr>
          <w:rFonts w:ascii="Times New Roman" w:eastAsia="Times New Roman" w:hAnsi="Times New Roman" w:cs="Times New Roman"/>
          <w:b/>
          <w:color w:val="000000"/>
          <w:sz w:val="24"/>
          <w:szCs w:val="24"/>
          <w:lang w:val="ru-RU"/>
        </w:rPr>
        <w:t xml:space="preserve">Приоритетное направление </w:t>
      </w:r>
      <w:r w:rsidR="0009536B" w:rsidRPr="0048572C">
        <w:rPr>
          <w:rFonts w:ascii="Times New Roman" w:eastAsia="Times New Roman" w:hAnsi="Times New Roman" w:cs="Times New Roman"/>
          <w:b/>
          <w:bCs/>
          <w:color w:val="000000"/>
          <w:sz w:val="24"/>
          <w:szCs w:val="24"/>
          <w:lang w:val="ru-RU"/>
        </w:rPr>
        <w:t xml:space="preserve">2.1 </w:t>
      </w:r>
      <w:r w:rsidR="0009536B" w:rsidRPr="00346506">
        <w:rPr>
          <w:rFonts w:ascii="Times New Roman" w:eastAsia="Times New Roman" w:hAnsi="Times New Roman" w:cs="Times New Roman"/>
          <w:b/>
          <w:bCs/>
          <w:i/>
          <w:color w:val="000000"/>
          <w:sz w:val="24"/>
          <w:szCs w:val="24"/>
          <w:lang w:val="ru-RU"/>
        </w:rPr>
        <w:t>Улучшение основной технической и коммунальной инфраструктуры в регионе развития АТО Гагаузия</w:t>
      </w:r>
    </w:p>
    <w:p w:rsidR="005C4BE6" w:rsidRDefault="005C4BE6" w:rsidP="002423ED">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 xml:space="preserve">Одно из направлений в рамках данной меры предполагает улучшение инфраструктуры и расширение охвата систем водоснабжения и канализации, а также повышения качества и эффективности этих услуг. В процессе внедрения этой меры необходимо придерживаться поэтапного подхода, установленного отраслевой Национальной стратегией водоснабжения и </w:t>
      </w:r>
      <w:proofErr w:type="spellStart"/>
      <w:r>
        <w:rPr>
          <w:rFonts w:ascii="Times New Roman" w:eastAsia="Times New Roman" w:hAnsi="Times New Roman" w:cs="Times New Roman"/>
          <w:color w:val="000000"/>
          <w:sz w:val="24"/>
          <w:szCs w:val="24"/>
          <w:lang w:val="ru-RU"/>
        </w:rPr>
        <w:t>санитации</w:t>
      </w:r>
      <w:proofErr w:type="spellEnd"/>
      <w:r>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222222"/>
          <w:sz w:val="24"/>
          <w:szCs w:val="24"/>
          <w:lang w:val="ru-RU"/>
        </w:rPr>
        <w:t>2014–2028 гг.</w:t>
      </w:r>
      <w:r>
        <w:rPr>
          <w:rFonts w:ascii="Times New Roman" w:eastAsia="Times New Roman" w:hAnsi="Times New Roman" w:cs="Times New Roman"/>
          <w:color w:val="000000"/>
          <w:sz w:val="24"/>
          <w:szCs w:val="24"/>
          <w:lang w:val="ru-RU"/>
        </w:rPr>
        <w:t>).</w:t>
      </w:r>
    </w:p>
    <w:p w:rsidR="005C4BE6" w:rsidRDefault="005C4BE6" w:rsidP="002423ED">
      <w:pPr>
        <w:spacing w:after="0" w:line="240" w:lineRule="auto"/>
        <w:ind w:firstLine="567"/>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Одна из проблем, которую необходимо решить в приоритетном порядке в регионе, </w:t>
      </w:r>
      <w:r w:rsidR="002423ED">
        <w:rPr>
          <w:rFonts w:ascii="Times New Roman" w:eastAsia="Times New Roman" w:hAnsi="Times New Roman" w:cs="Times New Roman"/>
          <w:color w:val="000000"/>
          <w:sz w:val="24"/>
          <w:szCs w:val="24"/>
          <w:lang w:val="ru-RU"/>
        </w:rPr>
        <w:t xml:space="preserve">- </w:t>
      </w:r>
      <w:r w:rsidR="00C5758D">
        <w:rPr>
          <w:rFonts w:ascii="Times New Roman" w:eastAsia="Times New Roman" w:hAnsi="Times New Roman" w:cs="Times New Roman"/>
          <w:color w:val="000000"/>
          <w:sz w:val="24"/>
          <w:szCs w:val="24"/>
          <w:lang w:val="ru-RU"/>
        </w:rPr>
        <w:t>это отсутствие</w:t>
      </w:r>
      <w:r>
        <w:rPr>
          <w:rFonts w:ascii="Times New Roman" w:eastAsia="Times New Roman" w:hAnsi="Times New Roman" w:cs="Times New Roman"/>
          <w:color w:val="000000"/>
          <w:sz w:val="24"/>
          <w:szCs w:val="24"/>
          <w:lang w:val="ru-RU"/>
        </w:rPr>
        <w:t xml:space="preserve"> канализационных систем в большинстве сел региона, а также в частном секторе в крупных городах. </w:t>
      </w:r>
    </w:p>
    <w:p w:rsidR="005C4BE6" w:rsidRDefault="005C4BE6" w:rsidP="002423ED">
      <w:pPr>
        <w:spacing w:after="0" w:line="240" w:lineRule="auto"/>
        <w:ind w:firstLine="567"/>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Почти все из существующих систем требуют срочного вмешательства в том, что касается их обновления, восстановления существующих либо строительства новых очистных сооружений. Решение данной проблемы исключит загрязнение окружающей среды: грунтовых вод и почв сточными водами.</w:t>
      </w:r>
    </w:p>
    <w:p w:rsidR="005C4BE6" w:rsidRDefault="005C4BE6" w:rsidP="002423ED">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Помимо инфраструктурной части, необходимо чтобы в проектах, представленных ОМПУ, содержались элементы, которые интегрируют планирование данной отрасли на местном уровне, повышение эффективности оператора услуг, межмуниципальное сотрудничество в целях обеспечения качества обслуживания, а также действия по осведомлению населения. </w:t>
      </w:r>
    </w:p>
    <w:p w:rsidR="005C4BE6" w:rsidRDefault="005C4BE6" w:rsidP="002423ED">
      <w:pPr>
        <w:spacing w:after="0" w:line="240" w:lineRule="auto"/>
        <w:ind w:firstLine="567"/>
        <w:rPr>
          <w:rFonts w:ascii="Times New Roman" w:eastAsia="Times New Roman" w:hAnsi="Times New Roman" w:cs="Times New Roman"/>
          <w:sz w:val="24"/>
          <w:szCs w:val="24"/>
          <w:lang w:val="ru-RU"/>
        </w:rPr>
      </w:pPr>
    </w:p>
    <w:p w:rsidR="005C4BE6" w:rsidRDefault="005C4BE6" w:rsidP="002423ED">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lastRenderedPageBreak/>
        <w:t>Второе направление в рамках данной меры включает в себя проекты, направленные на повышение эффективности управления твердыми бытовыми отходами посредством развития инфраструктуры УТБО, создания эффективной системы управления через межмуниципальное сотрудничество, практики продвижения селективного сбора отходов и повышения качества и эффективности региональных операторов. В качестве платформы для планируемых инициатив является «Стратегия управления отходами в Республике Молдова на 2013–2027 гг.".</w:t>
      </w:r>
    </w:p>
    <w:p w:rsidR="0009536B" w:rsidRPr="0009536B" w:rsidRDefault="0009536B" w:rsidP="0009536B">
      <w:pPr>
        <w:shd w:val="clear" w:color="auto" w:fill="FFFFFF"/>
        <w:spacing w:after="0" w:line="360" w:lineRule="auto"/>
        <w:rPr>
          <w:rFonts w:ascii="Times New Roman" w:eastAsia="Times New Roman" w:hAnsi="Times New Roman" w:cs="Times New Roman"/>
          <w:b/>
          <w:bCs/>
          <w:color w:val="000000"/>
          <w:sz w:val="24"/>
          <w:szCs w:val="24"/>
          <w:lang w:val="ru-RU"/>
        </w:rPr>
      </w:pPr>
    </w:p>
    <w:p w:rsidR="0009536B" w:rsidRPr="00346506" w:rsidRDefault="00346506" w:rsidP="00C5758D">
      <w:pPr>
        <w:shd w:val="clear" w:color="auto" w:fill="FFFFFF"/>
        <w:spacing w:after="0" w:line="360" w:lineRule="auto"/>
        <w:rPr>
          <w:rFonts w:ascii="Times New Roman" w:eastAsia="Times New Roman" w:hAnsi="Times New Roman" w:cs="Times New Roman"/>
          <w:b/>
          <w:bCs/>
          <w:i/>
          <w:color w:val="000000"/>
          <w:sz w:val="24"/>
          <w:szCs w:val="24"/>
          <w:lang w:val="ru-RU"/>
        </w:rPr>
      </w:pPr>
      <w:r w:rsidRPr="00346506">
        <w:rPr>
          <w:rFonts w:ascii="Times New Roman" w:eastAsia="Times New Roman" w:hAnsi="Times New Roman" w:cs="Times New Roman"/>
          <w:b/>
          <w:color w:val="000000"/>
          <w:sz w:val="24"/>
          <w:szCs w:val="24"/>
          <w:lang w:val="ru-RU"/>
        </w:rPr>
        <w:t xml:space="preserve">Приоритетное направление </w:t>
      </w:r>
      <w:r w:rsidR="0009536B" w:rsidRPr="0009536B">
        <w:rPr>
          <w:rFonts w:ascii="Times New Roman" w:eastAsia="Times New Roman" w:hAnsi="Times New Roman" w:cs="Times New Roman"/>
          <w:b/>
          <w:bCs/>
          <w:color w:val="000000"/>
          <w:sz w:val="24"/>
          <w:szCs w:val="24"/>
          <w:lang w:val="ru-RU"/>
        </w:rPr>
        <w:t xml:space="preserve">2.2 </w:t>
      </w:r>
      <w:r w:rsidR="0009536B" w:rsidRPr="00346506">
        <w:rPr>
          <w:rFonts w:ascii="Times New Roman" w:eastAsia="Times New Roman" w:hAnsi="Times New Roman" w:cs="Times New Roman"/>
          <w:b/>
          <w:bCs/>
          <w:i/>
          <w:color w:val="000000"/>
          <w:sz w:val="24"/>
          <w:szCs w:val="24"/>
          <w:lang w:val="ru-RU"/>
        </w:rPr>
        <w:t>Развитие бизнес-инфраструктуры в регионе развития АТО Гагаузия</w:t>
      </w:r>
    </w:p>
    <w:p w:rsidR="005C4BE6" w:rsidRDefault="005C4BE6" w:rsidP="00A2387E">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Основные мероприятия сосредоточены на развитии инфраструктуры для поддержки бизнеса и увеличении спектра предоставляемых услуг. Приоритетными</w:t>
      </w:r>
      <w:r w:rsidR="00A2387E">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 xml:space="preserve"> в рамках данной меры</w:t>
      </w:r>
      <w:r w:rsidR="00A2387E">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 xml:space="preserve"> будут действия по поддержке укрепления и модернизации существующей инфраструктуры поддержки бизнеса за счет диверсификации спектра предоставляемых услуг для удовлетворения потребностей предпринимателей. В регионе необходимо максимально освоить потенциал СЭЗ «</w:t>
      </w:r>
      <w:proofErr w:type="spellStart"/>
      <w:r>
        <w:rPr>
          <w:rFonts w:ascii="Times New Roman" w:eastAsia="Times New Roman" w:hAnsi="Times New Roman" w:cs="Times New Roman"/>
          <w:color w:val="000000"/>
          <w:sz w:val="24"/>
          <w:szCs w:val="24"/>
          <w:lang w:val="ru-RU"/>
        </w:rPr>
        <w:t>Валканеш</w:t>
      </w:r>
      <w:proofErr w:type="spellEnd"/>
      <w:r>
        <w:rPr>
          <w:rFonts w:ascii="Times New Roman" w:eastAsia="Times New Roman" w:hAnsi="Times New Roman" w:cs="Times New Roman"/>
          <w:color w:val="000000"/>
          <w:sz w:val="24"/>
          <w:szCs w:val="24"/>
          <w:lang w:val="ru-RU"/>
        </w:rPr>
        <w:t xml:space="preserve">» (включая </w:t>
      </w:r>
      <w:proofErr w:type="spellStart"/>
      <w:r>
        <w:rPr>
          <w:rFonts w:ascii="Times New Roman" w:eastAsia="Times New Roman" w:hAnsi="Times New Roman" w:cs="Times New Roman"/>
          <w:color w:val="000000"/>
          <w:sz w:val="24"/>
          <w:szCs w:val="24"/>
          <w:lang w:val="ru-RU"/>
        </w:rPr>
        <w:t>суб</w:t>
      </w:r>
      <w:proofErr w:type="spellEnd"/>
      <w:r>
        <w:rPr>
          <w:rFonts w:ascii="Times New Roman" w:eastAsia="Times New Roman" w:hAnsi="Times New Roman" w:cs="Times New Roman"/>
          <w:color w:val="000000"/>
          <w:sz w:val="24"/>
          <w:szCs w:val="24"/>
          <w:lang w:val="ru-RU"/>
        </w:rPr>
        <w:t xml:space="preserve">-зоны), бизнес-инкубатора </w:t>
      </w:r>
      <w:proofErr w:type="spellStart"/>
      <w:r>
        <w:rPr>
          <w:rFonts w:ascii="Times New Roman" w:eastAsia="Times New Roman" w:hAnsi="Times New Roman" w:cs="Times New Roman"/>
          <w:color w:val="000000"/>
          <w:sz w:val="24"/>
          <w:szCs w:val="24"/>
          <w:lang w:val="ru-RU"/>
        </w:rPr>
        <w:t>мун</w:t>
      </w:r>
      <w:proofErr w:type="spellEnd"/>
      <w:r>
        <w:rPr>
          <w:rFonts w:ascii="Times New Roman" w:eastAsia="Times New Roman" w:hAnsi="Times New Roman" w:cs="Times New Roman"/>
          <w:color w:val="000000"/>
          <w:sz w:val="24"/>
          <w:szCs w:val="24"/>
          <w:lang w:val="ru-RU"/>
        </w:rPr>
        <w:t>. Чадыр-Лунга, инновационного инкубатора «Инно Центр» и др.</w:t>
      </w:r>
    </w:p>
    <w:p w:rsidR="005C4BE6" w:rsidRDefault="005C4BE6" w:rsidP="00A2387E">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Также, возможно создание новых объектов инфраструктуры для поддержки бизнеса: индустриальные парки, бизнес-инкубаторы, консультационные многофункциональные бизнес-центры. </w:t>
      </w:r>
    </w:p>
    <w:p w:rsidR="005C4BE6" w:rsidRDefault="005C4BE6" w:rsidP="0009536B">
      <w:pPr>
        <w:shd w:val="clear" w:color="auto" w:fill="FFFFFF"/>
        <w:spacing w:after="0" w:line="360" w:lineRule="auto"/>
        <w:rPr>
          <w:rFonts w:ascii="Times New Roman" w:eastAsia="Times New Roman" w:hAnsi="Times New Roman" w:cs="Times New Roman"/>
          <w:b/>
          <w:bCs/>
          <w:color w:val="000000"/>
          <w:sz w:val="24"/>
          <w:szCs w:val="24"/>
          <w:lang w:val="ru-RU"/>
        </w:rPr>
      </w:pPr>
    </w:p>
    <w:p w:rsidR="00C5758D" w:rsidRPr="0009536B" w:rsidRDefault="00C5758D" w:rsidP="0009536B">
      <w:pPr>
        <w:shd w:val="clear" w:color="auto" w:fill="FFFFFF"/>
        <w:spacing w:after="0" w:line="360" w:lineRule="auto"/>
        <w:rPr>
          <w:rFonts w:ascii="Times New Roman" w:eastAsia="Times New Roman" w:hAnsi="Times New Roman" w:cs="Times New Roman"/>
          <w:b/>
          <w:bCs/>
          <w:color w:val="000000"/>
          <w:sz w:val="24"/>
          <w:szCs w:val="24"/>
          <w:lang w:val="ru-RU"/>
        </w:rPr>
      </w:pPr>
    </w:p>
    <w:p w:rsidR="00C5758D" w:rsidRPr="00346506" w:rsidRDefault="00346506" w:rsidP="00C5758D">
      <w:pPr>
        <w:shd w:val="clear" w:color="auto" w:fill="FFFFFF"/>
        <w:spacing w:after="0" w:line="360" w:lineRule="auto"/>
        <w:rPr>
          <w:rFonts w:ascii="Times New Roman" w:eastAsia="Times New Roman" w:hAnsi="Times New Roman" w:cs="Times New Roman"/>
          <w:b/>
          <w:bCs/>
          <w:i/>
          <w:color w:val="000000"/>
          <w:sz w:val="24"/>
          <w:szCs w:val="24"/>
          <w:lang w:val="ru-RU"/>
        </w:rPr>
      </w:pPr>
      <w:r w:rsidRPr="00346506">
        <w:rPr>
          <w:rFonts w:ascii="Times New Roman" w:eastAsia="Times New Roman" w:hAnsi="Times New Roman" w:cs="Times New Roman"/>
          <w:b/>
          <w:color w:val="000000"/>
          <w:sz w:val="24"/>
          <w:szCs w:val="24"/>
          <w:lang w:val="ru-RU"/>
        </w:rPr>
        <w:t xml:space="preserve">Приоритетное направление </w:t>
      </w:r>
      <w:r w:rsidR="0009536B" w:rsidRPr="0009536B">
        <w:rPr>
          <w:rFonts w:ascii="Times New Roman" w:eastAsia="Times New Roman" w:hAnsi="Times New Roman" w:cs="Times New Roman"/>
          <w:b/>
          <w:bCs/>
          <w:color w:val="000000"/>
          <w:sz w:val="24"/>
          <w:szCs w:val="24"/>
          <w:lang w:val="ru-RU"/>
        </w:rPr>
        <w:t xml:space="preserve">2.3 </w:t>
      </w:r>
      <w:r w:rsidR="0009536B" w:rsidRPr="00346506">
        <w:rPr>
          <w:rFonts w:ascii="Times New Roman" w:eastAsia="Times New Roman" w:hAnsi="Times New Roman" w:cs="Times New Roman"/>
          <w:b/>
          <w:bCs/>
          <w:i/>
          <w:color w:val="000000"/>
          <w:sz w:val="24"/>
          <w:szCs w:val="24"/>
          <w:lang w:val="ru-RU"/>
        </w:rPr>
        <w:t>Поддержка процесса адаптации региона развития АТО Гагаузия к изменению климата и повышение устойчивости к бедствиям</w:t>
      </w:r>
    </w:p>
    <w:p w:rsidR="005C4BE6" w:rsidRDefault="005C4BE6" w:rsidP="00A2387E">
      <w:pPr>
        <w:spacing w:after="0"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Согласно оценкам Национальной Стратегии Развития «Молдова 2030», воздействие изменения климата представлено как одна из трех основных уязвимостей развития Республики Молдова в следующем периоде, наряду с демографическими и экономическими проблемами. В частности, уязвимость к изменению климата относится к окружающей среде сельских районов, при этом засуха станет явлением, которое в ближайшие десятилетия окажет наибольшее влияние на развитие. Средняя повторяемость засух составляет уже 1–2 эпизода за десятилетие в северном регионе, 2–3 - в центральном и 5-6 - в южном, что предполагает ухудшение ситуации в ближайшие десятилетия.</w:t>
      </w:r>
    </w:p>
    <w:p w:rsidR="005C4BE6" w:rsidRDefault="005C4BE6" w:rsidP="00A2387E">
      <w:pPr>
        <w:spacing w:line="240" w:lineRule="auto"/>
        <w:ind w:firstLine="567"/>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В данном контексте, приоритетом национальной политики регионального развития на период 2022–2028 гг. станет решение наиболее актуальных экологических проблем, усиленное поддержкой реализации следующих приоритетных направлений: </w:t>
      </w:r>
    </w:p>
    <w:p w:rsidR="005C4BE6" w:rsidRDefault="005C4BE6" w:rsidP="005C4BE6">
      <w:pPr>
        <w:numPr>
          <w:ilvl w:val="0"/>
          <w:numId w:val="7"/>
        </w:numPr>
        <w:shd w:val="clear" w:color="auto" w:fill="FFFFFF"/>
        <w:spacing w:before="120"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Поддержка перехода к экономике замкнутого цикла для лучшего использования природных ресурсов и повышения эффективности экономической деятельности. </w:t>
      </w:r>
    </w:p>
    <w:p w:rsidR="005C4BE6" w:rsidRDefault="005C4BE6" w:rsidP="005C4BE6">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Повышение энергоэффективности и увеличение доли возобновляемых источников энергии для сокращения выбросов CO2.</w:t>
      </w:r>
    </w:p>
    <w:p w:rsidR="005C4BE6" w:rsidRDefault="005C4BE6" w:rsidP="005C4BE6">
      <w:pPr>
        <w:spacing w:after="0" w:line="240" w:lineRule="auto"/>
        <w:rPr>
          <w:rFonts w:ascii="Times New Roman" w:eastAsia="Times New Roman" w:hAnsi="Times New Roman" w:cs="Times New Roman"/>
          <w:sz w:val="24"/>
          <w:szCs w:val="24"/>
          <w:lang w:val="ru-RU"/>
        </w:rPr>
      </w:pPr>
    </w:p>
    <w:p w:rsidR="0009536B" w:rsidRPr="00A12517" w:rsidRDefault="0009536B" w:rsidP="008D1CF1">
      <w:pPr>
        <w:shd w:val="clear" w:color="auto" w:fill="FFFFFF"/>
        <w:spacing w:after="0" w:line="360" w:lineRule="auto"/>
        <w:rPr>
          <w:rFonts w:ascii="Times New Roman" w:eastAsia="Times New Roman" w:hAnsi="Times New Roman" w:cs="Times New Roman"/>
          <w:sz w:val="24"/>
          <w:szCs w:val="24"/>
          <w:lang w:val="ru-RU"/>
        </w:rPr>
      </w:pPr>
    </w:p>
    <w:p w:rsidR="008D1CF1" w:rsidRDefault="008D1CF1" w:rsidP="008D1CF1">
      <w:pPr>
        <w:shd w:val="clear" w:color="auto" w:fill="FFFFFF"/>
        <w:spacing w:line="360" w:lineRule="auto"/>
        <w:ind w:right="-143"/>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3.</w:t>
      </w:r>
      <w:r w:rsidRPr="005C4BE6">
        <w:rPr>
          <w:rFonts w:ascii="Times New Roman" w:eastAsia="Times New Roman" w:hAnsi="Times New Roman" w:cs="Times New Roman"/>
          <w:b/>
          <w:bCs/>
          <w:color w:val="2F2F2F"/>
          <w:sz w:val="24"/>
          <w:szCs w:val="24"/>
          <w:lang w:val="ru-RU"/>
        </w:rPr>
        <w:t>3. </w:t>
      </w:r>
      <w:r w:rsidR="005C4BE6" w:rsidRPr="005C4BE6">
        <w:rPr>
          <w:rFonts w:ascii="Times New Roman" w:eastAsia="Times New Roman" w:hAnsi="Times New Roman" w:cs="Times New Roman"/>
          <w:b/>
          <w:bCs/>
          <w:color w:val="2F2F2F"/>
          <w:sz w:val="24"/>
          <w:szCs w:val="24"/>
          <w:lang w:val="ru-RU"/>
        </w:rPr>
        <w:t xml:space="preserve">   </w:t>
      </w:r>
      <w:r w:rsidR="005C4BE6" w:rsidRPr="005C4BE6">
        <w:rPr>
          <w:rFonts w:ascii="Times New Roman" w:eastAsia="Times New Roman" w:hAnsi="Times New Roman" w:cs="Times New Roman"/>
          <w:b/>
          <w:bCs/>
          <w:color w:val="2F2F2F"/>
          <w:sz w:val="24"/>
          <w:szCs w:val="24"/>
          <w:u w:val="single"/>
          <w:lang w:val="ru-RU"/>
        </w:rPr>
        <w:t>Общая цель 3</w:t>
      </w:r>
      <w:r w:rsidR="00A2387E">
        <w:rPr>
          <w:rFonts w:ascii="Times New Roman" w:eastAsia="Times New Roman" w:hAnsi="Times New Roman" w:cs="Times New Roman"/>
          <w:b/>
          <w:bCs/>
          <w:color w:val="2F2F2F"/>
          <w:sz w:val="24"/>
          <w:szCs w:val="24"/>
          <w:u w:val="single"/>
          <w:lang w:val="ru-RU"/>
        </w:rPr>
        <w:t>:</w:t>
      </w:r>
      <w:r w:rsidRPr="005C4BE6">
        <w:rPr>
          <w:rFonts w:ascii="Times New Roman" w:eastAsia="Times New Roman" w:hAnsi="Times New Roman" w:cs="Times New Roman"/>
          <w:b/>
          <w:bCs/>
          <w:color w:val="2F2F2F"/>
          <w:sz w:val="24"/>
          <w:szCs w:val="24"/>
          <w:u w:val="single"/>
          <w:lang w:val="ru-RU"/>
        </w:rPr>
        <w:t xml:space="preserve"> Совершенствование инструментов координации и реализации национальной политики регионального развития</w:t>
      </w:r>
      <w:r w:rsidRPr="00A12517">
        <w:rPr>
          <w:rFonts w:ascii="Times New Roman" w:eastAsia="Times New Roman" w:hAnsi="Times New Roman" w:cs="Times New Roman"/>
          <w:b/>
          <w:bCs/>
          <w:color w:val="2F2F2F"/>
          <w:sz w:val="24"/>
          <w:szCs w:val="24"/>
          <w:lang w:val="ru-RU"/>
        </w:rPr>
        <w:t xml:space="preserve"> </w:t>
      </w:r>
    </w:p>
    <w:p w:rsidR="00F8082B" w:rsidRPr="00F8082B" w:rsidRDefault="00F8082B"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 xml:space="preserve">Данная цель направлена на укрепление и повышение эффективности процесса реализации политики регионального развития в Регионе развития АТО Гагаузия путем </w:t>
      </w:r>
      <w:r w:rsidRPr="00F8082B">
        <w:rPr>
          <w:rFonts w:ascii="Times New Roman" w:eastAsia="Times New Roman" w:hAnsi="Times New Roman" w:cs="Times New Roman"/>
          <w:sz w:val="24"/>
          <w:szCs w:val="24"/>
          <w:lang w:val="ru-RU" w:eastAsia="ru-RU"/>
        </w:rPr>
        <w:lastRenderedPageBreak/>
        <w:t>развития функциональной институциональной системы, адаптированной к региональным особенностям и потребностям, а также посредством применения интегрированного подхода к планированию, координации и оценке государственных инвестиций.</w:t>
      </w:r>
    </w:p>
    <w:p w:rsidR="00F8082B" w:rsidRPr="00F8082B" w:rsidRDefault="00F8082B"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В контексте существующих региональных вызовов, включая ограниченные институциональные возможности, необходимость совершенствования механизмов финансирования и требования по приведению в соответствие со стандартами Европейского союза, меры на период 2026–2028 годов будут направлены на:</w:t>
      </w:r>
    </w:p>
    <w:p w:rsidR="00F8082B" w:rsidRPr="00F8082B" w:rsidRDefault="00F8082B" w:rsidP="0046212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 xml:space="preserve">совершенствование механизмов финансирования проектов регионального развития, включая диверсификацию источников финансирования и повышение уровня освоения доступных средств; </w:t>
      </w:r>
    </w:p>
    <w:p w:rsidR="00F8082B" w:rsidRPr="00F8082B" w:rsidRDefault="00F8082B" w:rsidP="0046212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 xml:space="preserve">развитие и укрепление инструментов мониторинга и оценки политики и программ регионального развития с целью повышения прозрачности и эффективности использования публичных ресурсов; </w:t>
      </w:r>
    </w:p>
    <w:p w:rsidR="00F8082B" w:rsidRPr="00F8082B" w:rsidRDefault="00F8082B" w:rsidP="00462122">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 xml:space="preserve">укрепление институционального и профессионального потенциала региональных и местных участников, вовлеченных в процесс регионального развития. </w:t>
      </w:r>
    </w:p>
    <w:p w:rsidR="00F8082B" w:rsidRPr="00462122" w:rsidRDefault="00F8082B"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F8082B">
        <w:rPr>
          <w:rFonts w:ascii="Times New Roman" w:eastAsia="Times New Roman" w:hAnsi="Times New Roman" w:cs="Times New Roman"/>
          <w:sz w:val="24"/>
          <w:szCs w:val="24"/>
          <w:lang w:val="ru-RU" w:eastAsia="ru-RU"/>
        </w:rPr>
        <w:t xml:space="preserve">Реализация данной цели предполагает усиление сотрудничества между всеми заинтересованными институциональными участниками, включая центральные и местные органы публичной власти, а также другими партнерами по развитию, с целью обеспечения согласованного и </w:t>
      </w:r>
      <w:proofErr w:type="spellStart"/>
      <w:r w:rsidRPr="00F8082B">
        <w:rPr>
          <w:rFonts w:ascii="Times New Roman" w:eastAsia="Times New Roman" w:hAnsi="Times New Roman" w:cs="Times New Roman"/>
          <w:sz w:val="24"/>
          <w:szCs w:val="24"/>
          <w:lang w:val="ru-RU" w:eastAsia="ru-RU"/>
        </w:rPr>
        <w:t>межсекторального</w:t>
      </w:r>
      <w:proofErr w:type="spellEnd"/>
      <w:r w:rsidRPr="00F8082B">
        <w:rPr>
          <w:rFonts w:ascii="Times New Roman" w:eastAsia="Times New Roman" w:hAnsi="Times New Roman" w:cs="Times New Roman"/>
          <w:sz w:val="24"/>
          <w:szCs w:val="24"/>
          <w:lang w:val="ru-RU" w:eastAsia="ru-RU"/>
        </w:rPr>
        <w:t xml:space="preserve"> подхода к региональному развитию. В этом контексте будет продвигаться эффективная координация между отраслевыми и региональными политиками, что будет способствовать достижению целей, установленных в национальных и европейских стратегических документах.</w:t>
      </w:r>
    </w:p>
    <w:p w:rsidR="00195F0C" w:rsidRPr="00C5758D" w:rsidRDefault="00346506" w:rsidP="00C5758D">
      <w:pPr>
        <w:shd w:val="clear" w:color="auto" w:fill="FFFFFF"/>
        <w:spacing w:line="360" w:lineRule="auto"/>
        <w:ind w:right="-143"/>
        <w:rPr>
          <w:rFonts w:ascii="Times New Roman" w:eastAsia="Times New Roman" w:hAnsi="Times New Roman" w:cs="Times New Roman"/>
          <w:b/>
          <w:i/>
          <w:sz w:val="24"/>
          <w:szCs w:val="24"/>
          <w:shd w:val="clear" w:color="auto" w:fill="FFFFFF" w:themeFill="background1"/>
          <w:lang w:val="ru-RU"/>
        </w:rPr>
      </w:pPr>
      <w:r w:rsidRPr="00346506">
        <w:rPr>
          <w:rFonts w:ascii="Times New Roman" w:eastAsia="Times New Roman" w:hAnsi="Times New Roman" w:cs="Times New Roman"/>
          <w:b/>
          <w:color w:val="000000"/>
          <w:sz w:val="24"/>
          <w:szCs w:val="24"/>
          <w:lang w:val="ru-RU"/>
        </w:rPr>
        <w:t>Приоритетное направление</w:t>
      </w:r>
      <w:r w:rsidR="00C5758D">
        <w:rPr>
          <w:rFonts w:ascii="Times New Roman" w:eastAsia="Times New Roman" w:hAnsi="Times New Roman" w:cs="Times New Roman"/>
          <w:b/>
          <w:bCs/>
          <w:color w:val="000000"/>
          <w:sz w:val="24"/>
          <w:szCs w:val="24"/>
          <w:lang w:val="ru-RU"/>
        </w:rPr>
        <w:t xml:space="preserve"> </w:t>
      </w:r>
      <w:r w:rsidR="00195F0C" w:rsidRPr="00195F0C">
        <w:rPr>
          <w:rFonts w:ascii="Times New Roman" w:eastAsia="Times New Roman" w:hAnsi="Times New Roman" w:cs="Times New Roman"/>
          <w:b/>
          <w:color w:val="000000"/>
          <w:sz w:val="24"/>
          <w:szCs w:val="24"/>
          <w:lang w:val="ru-RU"/>
        </w:rPr>
        <w:t xml:space="preserve">3.1 </w:t>
      </w:r>
      <w:r w:rsidR="00195F0C" w:rsidRPr="00C5758D">
        <w:rPr>
          <w:rFonts w:ascii="Times New Roman" w:eastAsia="Times New Roman" w:hAnsi="Times New Roman" w:cs="Times New Roman"/>
          <w:b/>
          <w:i/>
          <w:sz w:val="24"/>
          <w:szCs w:val="24"/>
          <w:shd w:val="clear" w:color="auto" w:fill="FFFFFF" w:themeFill="background1"/>
          <w:lang w:val="ru-RU"/>
        </w:rPr>
        <w:t>Пов</w:t>
      </w:r>
      <w:r w:rsidR="00C5758D">
        <w:rPr>
          <w:rFonts w:ascii="Times New Roman" w:eastAsia="Times New Roman" w:hAnsi="Times New Roman" w:cs="Times New Roman"/>
          <w:b/>
          <w:i/>
          <w:sz w:val="24"/>
          <w:szCs w:val="24"/>
          <w:shd w:val="clear" w:color="auto" w:fill="FFFFFF" w:themeFill="background1"/>
          <w:lang w:val="ru-RU"/>
        </w:rPr>
        <w:t xml:space="preserve">ышение эффективности институтов </w:t>
      </w:r>
      <w:r w:rsidR="00195F0C" w:rsidRPr="00C5758D">
        <w:rPr>
          <w:rFonts w:ascii="Times New Roman" w:eastAsia="Times New Roman" w:hAnsi="Times New Roman" w:cs="Times New Roman"/>
          <w:b/>
          <w:i/>
          <w:sz w:val="24"/>
          <w:szCs w:val="24"/>
          <w:shd w:val="clear" w:color="auto" w:fill="FFFFFF" w:themeFill="background1"/>
          <w:lang w:val="ru-RU"/>
        </w:rPr>
        <w:t>регионального развития</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Цель данного направления заключается в повышении эффективности процесса реализации политики регионального развития в Регионе развития АТО Гагаузия посредством совершенствования институциональной базы и внедрения современных инструментов планирования, управления и мониторинга.</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рамках предыдущего программного периода были предприняты меры по укреплению институциональной системы регионального развития и внедрению новых инструментов управления проектами. На региональном уровне ключевыми субъектами реализации политики регионального развития являются Агентство регионального развития АТО Гагаузия и Региональный совет по развитию АТО Гагаузия.</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целях повышения эффективности принятия решений и обеспечения более сбалансированного участия заинтересованных сторон, была обновлена структура Регионального совета по развитию в соответствии с действующим законодательством. Это способствовало усилению его роли как основного коллегиального органа, отвечающего за координацию и продвижение политики регионального развития на региональном уровне.</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 xml:space="preserve">Важным шагом стало внедрение Информационной системы управления программами и проектами регионального и местного развития (SI GPPDRL), утвержденной Постановлением Правительства № 758/2024. Данная система обеспечивает централизованный учет, мониторинг и оценку проектов, способствуя повышению прозрачности и эффективности использования публичных ресурсов. В то же время, </w:t>
      </w:r>
      <w:r w:rsidRPr="00462122">
        <w:rPr>
          <w:rFonts w:ascii="Times New Roman" w:eastAsia="Times New Roman" w:hAnsi="Times New Roman" w:cs="Times New Roman"/>
          <w:sz w:val="24"/>
          <w:szCs w:val="24"/>
          <w:lang w:val="ru-RU" w:eastAsia="ru-RU"/>
        </w:rPr>
        <w:lastRenderedPageBreak/>
        <w:t>дальнейшее развитие системы требует укрепления технических и институциональных возможностей, включая регулярное обучение пользователей и совершенствование функционала платформы.</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целях повышения эффективности публичных интервенций и обеспечения более тесной координации между центральным и региональным уровнями управления, в период 2026–2028 годов основные усилия будут сосредоточены на следующих направлениях:</w:t>
      </w:r>
    </w:p>
    <w:p w:rsidR="00462122" w:rsidRPr="00462122" w:rsidRDefault="00462122" w:rsidP="00462122">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Совершенствование институциональной базы политики регионального развития</w:t>
      </w:r>
      <w:r w:rsidRPr="00462122">
        <w:rPr>
          <w:rFonts w:ascii="Times New Roman" w:eastAsia="Times New Roman" w:hAnsi="Times New Roman" w:cs="Times New Roman"/>
          <w:sz w:val="24"/>
          <w:szCs w:val="24"/>
          <w:lang w:val="ru-RU" w:eastAsia="ru-RU"/>
        </w:rPr>
        <w:t xml:space="preserve"> путем укрепления административного потенциала вовлеченных органов, а также стимулирования межведомственного и межрегионального сотрудничества. </w:t>
      </w:r>
    </w:p>
    <w:p w:rsidR="00462122" w:rsidRPr="00462122" w:rsidRDefault="00462122" w:rsidP="00462122">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Повышение эффективности мониторинга и оценки политики и проектов регионального развития</w:t>
      </w:r>
      <w:r w:rsidRPr="00462122">
        <w:rPr>
          <w:rFonts w:ascii="Times New Roman" w:eastAsia="Times New Roman" w:hAnsi="Times New Roman" w:cs="Times New Roman"/>
          <w:sz w:val="24"/>
          <w:szCs w:val="24"/>
          <w:lang w:val="ru-RU" w:eastAsia="ru-RU"/>
        </w:rPr>
        <w:t xml:space="preserve">, включая: </w:t>
      </w:r>
    </w:p>
    <w:p w:rsidR="00462122" w:rsidRPr="00462122" w:rsidRDefault="00462122" w:rsidP="00462122">
      <w:pPr>
        <w:numPr>
          <w:ilvl w:val="1"/>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 xml:space="preserve">регулярное обновление региональной базы данных посредством сбора, проверки и интеграции статистической информации, в том числе дезагрегированной по полу, возрасту и типу населенных пунктов; </w:t>
      </w:r>
    </w:p>
    <w:p w:rsidR="00462122" w:rsidRPr="00462122" w:rsidRDefault="00462122" w:rsidP="00462122">
      <w:pPr>
        <w:numPr>
          <w:ilvl w:val="1"/>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 xml:space="preserve">мониторинг реализации проектов через систему SI GPPDRL на всех этапах их жизненного цикла, с обеспечением полноты и достоверности вводимых данных; </w:t>
      </w:r>
    </w:p>
    <w:p w:rsidR="00462122" w:rsidRPr="00462122" w:rsidRDefault="00462122" w:rsidP="00462122">
      <w:pPr>
        <w:numPr>
          <w:ilvl w:val="1"/>
          <w:numId w:val="26"/>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 xml:space="preserve">развитие и использование геоинформационных систем (GIS) для пространственного анализа и планирования регионального развития. </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процессе укрепления институционального потенциала особое внимание будет уделено внедрению принципов равенства женщин и мужчин в систему регионального управления, включая обеспечение сбалансированного участия представителей обоих полов в органах принятия решений и тематических рабочих группах.</w:t>
      </w:r>
    </w:p>
    <w:p w:rsidR="00195F0C"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Реализация данных мер позволит создать необходимые условия для повышения качества планирования, координации и реализации проектов регионального развития, а также обеспечит более эффективное использование финансовых ресурсов и достижение устойчивых результатов на уровне региона.</w:t>
      </w:r>
    </w:p>
    <w:p w:rsidR="00A2387E" w:rsidRPr="00C5758D" w:rsidRDefault="00C5758D" w:rsidP="00C5758D">
      <w:pPr>
        <w:pStyle w:val="a7"/>
        <w:ind w:firstLine="0"/>
        <w:rPr>
          <w:rFonts w:eastAsia="Times New Roman"/>
          <w:b/>
          <w:i/>
          <w:color w:val="000000"/>
        </w:rPr>
      </w:pPr>
      <w:r w:rsidRPr="00346506">
        <w:rPr>
          <w:rFonts w:eastAsia="Times New Roman"/>
          <w:b/>
          <w:color w:val="000000"/>
        </w:rPr>
        <w:t>Приоритетное направление</w:t>
      </w:r>
      <w:r>
        <w:rPr>
          <w:rFonts w:eastAsia="Times New Roman"/>
          <w:b/>
          <w:bCs/>
          <w:color w:val="000000"/>
        </w:rPr>
        <w:t xml:space="preserve"> </w:t>
      </w:r>
      <w:r w:rsidR="00195F0C" w:rsidRPr="00195F0C">
        <w:rPr>
          <w:rFonts w:eastAsia="Times New Roman"/>
          <w:b/>
          <w:color w:val="000000"/>
        </w:rPr>
        <w:t xml:space="preserve">3.2 </w:t>
      </w:r>
      <w:r w:rsidR="00195F0C" w:rsidRPr="00C5758D">
        <w:rPr>
          <w:rFonts w:eastAsia="Times New Roman"/>
          <w:b/>
          <w:i/>
          <w:color w:val="000000"/>
        </w:rPr>
        <w:t>Оптимизация механизма финансирования проектов регионального развития</w:t>
      </w:r>
    </w:p>
    <w:p w:rsidR="00462122" w:rsidRPr="00462122" w:rsidRDefault="00462122" w:rsidP="00A2387E">
      <w:pPr>
        <w:pStyle w:val="a7"/>
        <w:rPr>
          <w:rFonts w:eastAsia="Times New Roman"/>
        </w:rPr>
      </w:pPr>
      <w:r>
        <w:rPr>
          <w:rFonts w:eastAsia="Times New Roman"/>
          <w:b/>
          <w:color w:val="000000"/>
        </w:rPr>
        <w:br/>
      </w:r>
      <w:r w:rsidR="00A2387E">
        <w:rPr>
          <w:rFonts w:eastAsia="Times New Roman"/>
        </w:rPr>
        <w:t xml:space="preserve">          </w:t>
      </w:r>
      <w:r w:rsidRPr="00462122">
        <w:rPr>
          <w:rFonts w:eastAsia="Times New Roman"/>
        </w:rPr>
        <w:t>Цель данного приоритетного направления заключается в расширении и диверсификации источников финансирования проектов регионального развития в Регионе развития АТО Гагаузия, а также в повышении эффективности управления финансовыми ресурсами за счет укрепления партнерств и более активного участия в национальных и международных программах.</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условиях ограниченности традиционных источников финансирования особое значение приобретает привлечение внешних инвестиций и развитие альтернативных механизмов финансирования, что позволит обеспечить устойчивую реализацию приоритетных проектов региона.</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этой связи основные меры на период 2026–2028 годов будут сосредоточены на следующих направлениях:</w:t>
      </w:r>
    </w:p>
    <w:p w:rsidR="00462122" w:rsidRPr="00462122" w:rsidRDefault="00462122" w:rsidP="00462122">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Расширение доступа к финансовым ресурсам</w:t>
      </w:r>
      <w:r w:rsidRPr="00462122">
        <w:rPr>
          <w:rFonts w:ascii="Times New Roman" w:eastAsia="Times New Roman" w:hAnsi="Times New Roman" w:cs="Times New Roman"/>
          <w:sz w:val="24"/>
          <w:szCs w:val="24"/>
          <w:lang w:val="ru-RU" w:eastAsia="ru-RU"/>
        </w:rPr>
        <w:t xml:space="preserve"> путем активного участия в национальных и международных программах и проектах, за исключением </w:t>
      </w:r>
      <w:r w:rsidRPr="00462122">
        <w:rPr>
          <w:rFonts w:ascii="Times New Roman" w:eastAsia="Times New Roman" w:hAnsi="Times New Roman" w:cs="Times New Roman"/>
          <w:sz w:val="24"/>
          <w:szCs w:val="24"/>
          <w:lang w:val="ru-RU" w:eastAsia="ru-RU"/>
        </w:rPr>
        <w:lastRenderedPageBreak/>
        <w:t xml:space="preserve">финансируемых из Национального фонда регионального и местного развития, а также за счет привлечения грантовых и донорских средств. </w:t>
      </w:r>
    </w:p>
    <w:p w:rsidR="00462122" w:rsidRPr="00462122" w:rsidRDefault="00462122" w:rsidP="00462122">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Систематизация и координация инвестиционных инициатив</w:t>
      </w:r>
      <w:r w:rsidRPr="00462122">
        <w:rPr>
          <w:rFonts w:ascii="Times New Roman" w:eastAsia="Times New Roman" w:hAnsi="Times New Roman" w:cs="Times New Roman"/>
          <w:sz w:val="24"/>
          <w:szCs w:val="24"/>
          <w:lang w:val="ru-RU" w:eastAsia="ru-RU"/>
        </w:rPr>
        <w:t xml:space="preserve"> через регулярный анализ и картографирование проектов, реализуемых на территории региона при поддержке партнеров по развитию, с целью повышения согласованности и эффективности распределения ресурсов. </w:t>
      </w:r>
    </w:p>
    <w:p w:rsidR="00462122" w:rsidRPr="00462122" w:rsidRDefault="00462122" w:rsidP="00462122">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Развитие партнерств и институционального взаимодействия</w:t>
      </w:r>
      <w:r w:rsidRPr="00462122">
        <w:rPr>
          <w:rFonts w:ascii="Times New Roman" w:eastAsia="Times New Roman" w:hAnsi="Times New Roman" w:cs="Times New Roman"/>
          <w:sz w:val="24"/>
          <w:szCs w:val="24"/>
          <w:lang w:val="ru-RU" w:eastAsia="ru-RU"/>
        </w:rPr>
        <w:t xml:space="preserve"> с национальными и международными организациями, финансовыми учреждениями, дипломатическими миссиями и другими донорами для привлечения дополнительных финансовых и экспертных ресурсов. </w:t>
      </w:r>
    </w:p>
    <w:p w:rsidR="00462122" w:rsidRPr="00462122" w:rsidRDefault="00462122" w:rsidP="00462122">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Активизация межрегионального и трансграничного сотрудничества</w:t>
      </w:r>
      <w:r w:rsidRPr="00462122">
        <w:rPr>
          <w:rFonts w:ascii="Times New Roman" w:eastAsia="Times New Roman" w:hAnsi="Times New Roman" w:cs="Times New Roman"/>
          <w:sz w:val="24"/>
          <w:szCs w:val="24"/>
          <w:lang w:val="ru-RU" w:eastAsia="ru-RU"/>
        </w:rPr>
        <w:t xml:space="preserve">, включая участие в программах территориального сотрудничества, направленных на совместное решение общих социально-экономических задач, обмен опытом и внедрение лучших практик. </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Регион АТО Гагаузия имеет возможность участвовать в ряде программ Европейского союза и других международных инициатив, таких как программы трансграничного и транснационального сотрудничества (</w:t>
      </w:r>
      <w:proofErr w:type="spellStart"/>
      <w:r w:rsidRPr="00462122">
        <w:rPr>
          <w:rFonts w:ascii="Times New Roman" w:eastAsia="Times New Roman" w:hAnsi="Times New Roman" w:cs="Times New Roman"/>
          <w:sz w:val="24"/>
          <w:szCs w:val="24"/>
          <w:lang w:val="ru-RU" w:eastAsia="ru-RU"/>
        </w:rPr>
        <w:t>Interreg</w:t>
      </w:r>
      <w:proofErr w:type="spellEnd"/>
      <w:r w:rsidRPr="00462122">
        <w:rPr>
          <w:rFonts w:ascii="Times New Roman" w:eastAsia="Times New Roman" w:hAnsi="Times New Roman" w:cs="Times New Roman"/>
          <w:sz w:val="24"/>
          <w:szCs w:val="24"/>
          <w:lang w:val="ru-RU" w:eastAsia="ru-RU"/>
        </w:rPr>
        <w:t xml:space="preserve">), а также секторальные программы, включая </w:t>
      </w:r>
      <w:proofErr w:type="spellStart"/>
      <w:r w:rsidRPr="00462122">
        <w:rPr>
          <w:rFonts w:ascii="Times New Roman" w:eastAsia="Times New Roman" w:hAnsi="Times New Roman" w:cs="Times New Roman"/>
          <w:sz w:val="24"/>
          <w:szCs w:val="24"/>
          <w:lang w:val="ru-RU" w:eastAsia="ru-RU"/>
        </w:rPr>
        <w:t>Horizon</w:t>
      </w:r>
      <w:proofErr w:type="spellEnd"/>
      <w:r w:rsidRPr="00462122">
        <w:rPr>
          <w:rFonts w:ascii="Times New Roman" w:eastAsia="Times New Roman" w:hAnsi="Times New Roman" w:cs="Times New Roman"/>
          <w:sz w:val="24"/>
          <w:szCs w:val="24"/>
          <w:lang w:val="ru-RU" w:eastAsia="ru-RU"/>
        </w:rPr>
        <w:t xml:space="preserve"> </w:t>
      </w:r>
      <w:proofErr w:type="spellStart"/>
      <w:r w:rsidRPr="00462122">
        <w:rPr>
          <w:rFonts w:ascii="Times New Roman" w:eastAsia="Times New Roman" w:hAnsi="Times New Roman" w:cs="Times New Roman"/>
          <w:sz w:val="24"/>
          <w:szCs w:val="24"/>
          <w:lang w:val="ru-RU" w:eastAsia="ru-RU"/>
        </w:rPr>
        <w:t>Europe</w:t>
      </w:r>
      <w:proofErr w:type="spellEnd"/>
      <w:r w:rsidRPr="00462122">
        <w:rPr>
          <w:rFonts w:ascii="Times New Roman" w:eastAsia="Times New Roman" w:hAnsi="Times New Roman" w:cs="Times New Roman"/>
          <w:sz w:val="24"/>
          <w:szCs w:val="24"/>
          <w:lang w:val="ru-RU" w:eastAsia="ru-RU"/>
        </w:rPr>
        <w:t xml:space="preserve">, COSME, </w:t>
      </w:r>
      <w:proofErr w:type="spellStart"/>
      <w:r w:rsidRPr="00462122">
        <w:rPr>
          <w:rFonts w:ascii="Times New Roman" w:eastAsia="Times New Roman" w:hAnsi="Times New Roman" w:cs="Times New Roman"/>
          <w:sz w:val="24"/>
          <w:szCs w:val="24"/>
          <w:lang w:val="ru-RU" w:eastAsia="ru-RU"/>
        </w:rPr>
        <w:t>Erasmus</w:t>
      </w:r>
      <w:proofErr w:type="spellEnd"/>
      <w:r w:rsidRPr="00462122">
        <w:rPr>
          <w:rFonts w:ascii="Times New Roman" w:eastAsia="Times New Roman" w:hAnsi="Times New Roman" w:cs="Times New Roman"/>
          <w:sz w:val="24"/>
          <w:szCs w:val="24"/>
          <w:lang w:val="ru-RU" w:eastAsia="ru-RU"/>
        </w:rPr>
        <w:t xml:space="preserve">+, </w:t>
      </w:r>
      <w:proofErr w:type="spellStart"/>
      <w:r w:rsidRPr="00462122">
        <w:rPr>
          <w:rFonts w:ascii="Times New Roman" w:eastAsia="Times New Roman" w:hAnsi="Times New Roman" w:cs="Times New Roman"/>
          <w:sz w:val="24"/>
          <w:szCs w:val="24"/>
          <w:lang w:val="ru-RU" w:eastAsia="ru-RU"/>
        </w:rPr>
        <w:t>Creative</w:t>
      </w:r>
      <w:proofErr w:type="spellEnd"/>
      <w:r w:rsidRPr="00462122">
        <w:rPr>
          <w:rFonts w:ascii="Times New Roman" w:eastAsia="Times New Roman" w:hAnsi="Times New Roman" w:cs="Times New Roman"/>
          <w:sz w:val="24"/>
          <w:szCs w:val="24"/>
          <w:lang w:val="ru-RU" w:eastAsia="ru-RU"/>
        </w:rPr>
        <w:t xml:space="preserve"> </w:t>
      </w:r>
      <w:proofErr w:type="spellStart"/>
      <w:r w:rsidRPr="00462122">
        <w:rPr>
          <w:rFonts w:ascii="Times New Roman" w:eastAsia="Times New Roman" w:hAnsi="Times New Roman" w:cs="Times New Roman"/>
          <w:sz w:val="24"/>
          <w:szCs w:val="24"/>
          <w:lang w:val="ru-RU" w:eastAsia="ru-RU"/>
        </w:rPr>
        <w:t>Europe</w:t>
      </w:r>
      <w:proofErr w:type="spellEnd"/>
      <w:r w:rsidRPr="00462122">
        <w:rPr>
          <w:rFonts w:ascii="Times New Roman" w:eastAsia="Times New Roman" w:hAnsi="Times New Roman" w:cs="Times New Roman"/>
          <w:sz w:val="24"/>
          <w:szCs w:val="24"/>
          <w:lang w:val="ru-RU" w:eastAsia="ru-RU"/>
        </w:rPr>
        <w:t xml:space="preserve"> и другие, которые направлены на поддержку инноваций, развития предпринимательства, человеческого капитала и культурного сотрудничества.</w:t>
      </w:r>
    </w:p>
    <w:p w:rsidR="00462122" w:rsidRDefault="00462122" w:rsidP="00C5758D">
      <w:pPr>
        <w:spacing w:before="100" w:beforeAutospacing="1" w:after="100" w:afterAutospacing="1" w:line="240" w:lineRule="auto"/>
        <w:ind w:firstLine="567"/>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Реализация данного направления будет способствовать повышению инвестиционной привлекательности региона, более эффективному использованию доступных финансовых ресурсов и обеспечению устойчивого социально-экономического развития АТО Гагаузия.</w:t>
      </w:r>
    </w:p>
    <w:p w:rsidR="00C5758D" w:rsidRPr="00462122" w:rsidRDefault="00C5758D" w:rsidP="00C5758D">
      <w:pPr>
        <w:spacing w:before="100" w:beforeAutospacing="1" w:after="100" w:afterAutospacing="1" w:line="240" w:lineRule="auto"/>
        <w:ind w:firstLine="567"/>
        <w:rPr>
          <w:rFonts w:ascii="Times New Roman" w:eastAsia="Times New Roman" w:hAnsi="Times New Roman" w:cs="Times New Roman"/>
          <w:sz w:val="24"/>
          <w:szCs w:val="24"/>
          <w:lang w:val="ru-RU" w:eastAsia="ru-RU"/>
        </w:rPr>
      </w:pPr>
    </w:p>
    <w:p w:rsidR="00195F0C" w:rsidRPr="00C5758D" w:rsidRDefault="00C5758D" w:rsidP="00C5758D">
      <w:pPr>
        <w:shd w:val="clear" w:color="auto" w:fill="FFFFFF"/>
        <w:spacing w:line="360" w:lineRule="auto"/>
        <w:ind w:right="-143"/>
        <w:rPr>
          <w:rFonts w:ascii="Times New Roman" w:eastAsia="Times New Roman" w:hAnsi="Times New Roman" w:cs="Times New Roman"/>
          <w:b/>
          <w:i/>
          <w:color w:val="000000"/>
          <w:sz w:val="24"/>
          <w:szCs w:val="24"/>
          <w:lang w:val="ru-RU"/>
        </w:rPr>
      </w:pPr>
      <w:r w:rsidRPr="00346506">
        <w:rPr>
          <w:rFonts w:ascii="Times New Roman" w:eastAsia="Times New Roman" w:hAnsi="Times New Roman" w:cs="Times New Roman"/>
          <w:b/>
          <w:color w:val="000000"/>
          <w:sz w:val="24"/>
          <w:szCs w:val="24"/>
          <w:lang w:val="ru-RU"/>
        </w:rPr>
        <w:t>Приоритетное направление</w:t>
      </w:r>
      <w:r>
        <w:rPr>
          <w:rFonts w:ascii="Times New Roman" w:eastAsia="Times New Roman" w:hAnsi="Times New Roman" w:cs="Times New Roman"/>
          <w:b/>
          <w:bCs/>
          <w:color w:val="000000"/>
          <w:sz w:val="24"/>
          <w:szCs w:val="24"/>
          <w:lang w:val="ru-RU"/>
        </w:rPr>
        <w:t xml:space="preserve"> </w:t>
      </w:r>
      <w:r w:rsidR="00195F0C" w:rsidRPr="00195F0C">
        <w:rPr>
          <w:rFonts w:ascii="Times New Roman" w:eastAsia="Times New Roman" w:hAnsi="Times New Roman" w:cs="Times New Roman"/>
          <w:b/>
          <w:color w:val="000000"/>
          <w:sz w:val="24"/>
          <w:szCs w:val="24"/>
          <w:lang w:val="ru-RU"/>
        </w:rPr>
        <w:t xml:space="preserve">3.3 </w:t>
      </w:r>
      <w:r w:rsidR="00C14069" w:rsidRPr="00C5758D">
        <w:rPr>
          <w:rFonts w:ascii="Times New Roman" w:eastAsia="Times New Roman" w:hAnsi="Times New Roman" w:cs="Times New Roman"/>
          <w:b/>
          <w:i/>
          <w:color w:val="000000"/>
          <w:sz w:val="24"/>
          <w:szCs w:val="24"/>
          <w:lang w:val="ru-RU"/>
        </w:rPr>
        <w:t>Развитие потенциала региональных субъектов в областях, имеющих отношение к политике регионального развития.</w:t>
      </w:r>
    </w:p>
    <w:p w:rsidR="00462122" w:rsidRPr="00462122" w:rsidRDefault="00462122" w:rsidP="00A2387E">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Ключевым условием повышения эффективности политики регионального развития в Регионе развития АТО Гагаузия является укрепление институционального и профессионального потенциала всех вовлеченных участников на региональном и местном уровнях. Особую актуальность данное направление приобретает в контексте предстоящей административно-территориальной реформы, которая потребует адаптации институциональных структур, перераспределения функций и повышения уровня управленческих и технических компетенций.</w:t>
      </w:r>
    </w:p>
    <w:p w:rsidR="00462122" w:rsidRPr="00462122" w:rsidRDefault="00462122" w:rsidP="00462122">
      <w:p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В этой связи меры на период 2026–2028 годов будут направлены на:</w:t>
      </w:r>
    </w:p>
    <w:p w:rsidR="00462122" w:rsidRPr="00462122" w:rsidRDefault="00462122" w:rsidP="00462122">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Выявление потребностей в обучении и развитии компетенций</w:t>
      </w:r>
      <w:r w:rsidRPr="00462122">
        <w:rPr>
          <w:rFonts w:ascii="Times New Roman" w:eastAsia="Times New Roman" w:hAnsi="Times New Roman" w:cs="Times New Roman"/>
          <w:sz w:val="24"/>
          <w:szCs w:val="24"/>
          <w:lang w:val="ru-RU" w:eastAsia="ru-RU"/>
        </w:rPr>
        <w:t xml:space="preserve"> представителей органов публичной власти, включая органы власти автономии, органы местного самоуправления, членов Регионального совета по развитию АТО Гагаузия, а также специалистов Агентства регионального развития и других заинтересованных сторон, с учетом изменений, связанных с реформой административно-территориального устройства. </w:t>
      </w:r>
    </w:p>
    <w:p w:rsidR="00462122" w:rsidRPr="00462122" w:rsidRDefault="00462122" w:rsidP="00462122">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 xml:space="preserve">Содействие участию региональных и местных </w:t>
      </w:r>
      <w:r w:rsidR="003811BE">
        <w:rPr>
          <w:rFonts w:ascii="Times New Roman" w:eastAsia="Times New Roman" w:hAnsi="Times New Roman" w:cs="Times New Roman"/>
          <w:b/>
          <w:bCs/>
          <w:sz w:val="24"/>
          <w:szCs w:val="24"/>
          <w:lang w:val="ru-RU" w:eastAsia="ru-RU"/>
        </w:rPr>
        <w:t>стейкхолдеров</w:t>
      </w:r>
      <w:r w:rsidRPr="00462122">
        <w:rPr>
          <w:rFonts w:ascii="Times New Roman" w:eastAsia="Times New Roman" w:hAnsi="Times New Roman" w:cs="Times New Roman"/>
          <w:b/>
          <w:bCs/>
          <w:sz w:val="24"/>
          <w:szCs w:val="24"/>
          <w:lang w:val="ru-RU" w:eastAsia="ru-RU"/>
        </w:rPr>
        <w:t xml:space="preserve"> в программах профессионального обучения и обмена опытом</w:t>
      </w:r>
      <w:r w:rsidRPr="00462122">
        <w:rPr>
          <w:rFonts w:ascii="Times New Roman" w:eastAsia="Times New Roman" w:hAnsi="Times New Roman" w:cs="Times New Roman"/>
          <w:sz w:val="24"/>
          <w:szCs w:val="24"/>
          <w:lang w:val="ru-RU" w:eastAsia="ru-RU"/>
        </w:rPr>
        <w:t xml:space="preserve">, направленных на развитие навыков стратегического планирования, управления проектами, привлечения инвестиций, а также применения современных инструментов мониторинга и оценки. </w:t>
      </w:r>
    </w:p>
    <w:p w:rsidR="00462122" w:rsidRPr="00462122" w:rsidRDefault="00462122" w:rsidP="00462122">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lastRenderedPageBreak/>
        <w:t>Оказание технической помощи и консультативной поддержки</w:t>
      </w:r>
      <w:r w:rsidRPr="00462122">
        <w:rPr>
          <w:rFonts w:ascii="Times New Roman" w:eastAsia="Times New Roman" w:hAnsi="Times New Roman" w:cs="Times New Roman"/>
          <w:sz w:val="24"/>
          <w:szCs w:val="24"/>
          <w:lang w:val="ru-RU" w:eastAsia="ru-RU"/>
        </w:rPr>
        <w:t xml:space="preserve"> органам публичной власти и другим участникам регионального развития в вопросах подготовки и реализации инвестиционных проектов, разработки стратегических документов, управления финансами и адаптации к новым институциональным условиям. </w:t>
      </w:r>
    </w:p>
    <w:p w:rsidR="00462122" w:rsidRPr="00462122" w:rsidRDefault="00462122" w:rsidP="00462122">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b/>
          <w:bCs/>
          <w:sz w:val="24"/>
          <w:szCs w:val="24"/>
          <w:lang w:val="ru-RU" w:eastAsia="ru-RU"/>
        </w:rPr>
        <w:t>Поддержка институциональной адаптации в условиях административно-территориальной реформы</w:t>
      </w:r>
      <w:r w:rsidRPr="00462122">
        <w:rPr>
          <w:rFonts w:ascii="Times New Roman" w:eastAsia="Times New Roman" w:hAnsi="Times New Roman" w:cs="Times New Roman"/>
          <w:sz w:val="24"/>
          <w:szCs w:val="24"/>
          <w:lang w:val="ru-RU" w:eastAsia="ru-RU"/>
        </w:rPr>
        <w:t xml:space="preserve">, включая совершенствование механизмов межмуниципального сотрудничества, развитие функциональной координации между уровнями управления и внедрение современных подходов к управлению развитием территорий. </w:t>
      </w:r>
    </w:p>
    <w:p w:rsidR="00462122" w:rsidRPr="00462122" w:rsidRDefault="00462122" w:rsidP="00342D2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 xml:space="preserve">В условиях </w:t>
      </w:r>
      <w:r w:rsidR="003811BE">
        <w:rPr>
          <w:rFonts w:ascii="Times New Roman" w:eastAsia="Times New Roman" w:hAnsi="Times New Roman" w:cs="Times New Roman"/>
          <w:sz w:val="24"/>
          <w:szCs w:val="24"/>
          <w:lang w:val="ru-RU" w:eastAsia="ru-RU"/>
        </w:rPr>
        <w:t xml:space="preserve">региона развития </w:t>
      </w:r>
      <w:r w:rsidRPr="00462122">
        <w:rPr>
          <w:rFonts w:ascii="Times New Roman" w:eastAsia="Times New Roman" w:hAnsi="Times New Roman" w:cs="Times New Roman"/>
          <w:sz w:val="24"/>
          <w:szCs w:val="24"/>
          <w:lang w:val="ru-RU" w:eastAsia="ru-RU"/>
        </w:rPr>
        <w:t>АТО Гагаузия доступ к финансовым ресурсам в значительной степени зависит от способности местных органов власти и региональных структур разрабатывать качественные, обоснованные и устойчивые проектные предложения. В то же время сохраняются ограничения, связанные с недостаточным уровнем технической подготовки, ограниченными кадровыми ресурсами и опытом реализации комплексных проектов.</w:t>
      </w:r>
    </w:p>
    <w:p w:rsidR="00B12694" w:rsidRPr="00462122" w:rsidRDefault="00462122" w:rsidP="00342D2D">
      <w:pPr>
        <w:spacing w:before="100" w:beforeAutospacing="1" w:after="100" w:afterAutospacing="1" w:line="240" w:lineRule="auto"/>
        <w:ind w:firstLine="567"/>
        <w:jc w:val="both"/>
        <w:rPr>
          <w:rFonts w:ascii="Times New Roman" w:eastAsia="Times New Roman" w:hAnsi="Times New Roman" w:cs="Times New Roman"/>
          <w:sz w:val="24"/>
          <w:szCs w:val="24"/>
          <w:lang w:val="ru-RU" w:eastAsia="ru-RU"/>
        </w:rPr>
      </w:pPr>
      <w:r w:rsidRPr="00462122">
        <w:rPr>
          <w:rFonts w:ascii="Times New Roman" w:eastAsia="Times New Roman" w:hAnsi="Times New Roman" w:cs="Times New Roman"/>
          <w:sz w:val="24"/>
          <w:szCs w:val="24"/>
          <w:lang w:val="ru-RU" w:eastAsia="ru-RU"/>
        </w:rPr>
        <w:t>Таким образом, системные инвестиции в развитие человеческого и институционального потенциала будут способствовать повышению способности региона эффективно использовать доступные источники финансирования, обеспечат более качественную подготовку и реализацию проектов, а также позволят смягчить возможные риски, связанные с институциональными преобразованиями в рамках административно-территориальной реформы.</w:t>
      </w:r>
    </w:p>
    <w:p w:rsidR="00B12694" w:rsidRDefault="00B12694" w:rsidP="00342D2D">
      <w:pPr>
        <w:shd w:val="clear" w:color="auto" w:fill="FFFFFF"/>
        <w:spacing w:after="0" w:line="240" w:lineRule="auto"/>
        <w:ind w:firstLine="567"/>
        <w:jc w:val="both"/>
        <w:rPr>
          <w:rFonts w:ascii="Times New Roman" w:eastAsia="Times New Roman" w:hAnsi="Times New Roman" w:cs="Times New Roman"/>
          <w:sz w:val="24"/>
          <w:szCs w:val="24"/>
          <w:lang w:val="ru-RU"/>
        </w:rPr>
      </w:pPr>
      <w:r w:rsidRPr="00121DE4">
        <w:rPr>
          <w:rFonts w:ascii="Times New Roman" w:eastAsia="Times New Roman" w:hAnsi="Times New Roman" w:cs="Times New Roman"/>
          <w:sz w:val="24"/>
          <w:szCs w:val="24"/>
          <w:lang w:val="ru-RU"/>
        </w:rPr>
        <w:t>Разработанная стратегическая концепция предполагает повышение конкурентоспособности и устойчивого региона развития</w:t>
      </w:r>
      <w:r>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u-RU"/>
        </w:rPr>
        <w:t>Гагаузия</w:t>
      </w:r>
      <w:r w:rsidRPr="00121DE4">
        <w:rPr>
          <w:rFonts w:ascii="Times New Roman" w:eastAsia="Times New Roman" w:hAnsi="Times New Roman" w:cs="Times New Roman"/>
          <w:sz w:val="24"/>
          <w:szCs w:val="24"/>
          <w:lang w:val="ru-RU"/>
        </w:rPr>
        <w:t>, устранение неравенства и повышение качества жизни граждан путем содействия развитию городских территорий, эффективного использования инновационного потенциала, поддержки развития деловой среды и инфраструктурных условий</w:t>
      </w:r>
    </w:p>
    <w:p w:rsidR="00B12694" w:rsidRDefault="00B12694" w:rsidP="008D1CF1">
      <w:pPr>
        <w:shd w:val="clear" w:color="auto" w:fill="FFFFFF"/>
        <w:spacing w:line="360" w:lineRule="auto"/>
        <w:ind w:right="-143"/>
        <w:rPr>
          <w:rFonts w:ascii="Times New Roman" w:eastAsia="Times New Roman" w:hAnsi="Times New Roman" w:cs="Times New Roman"/>
          <w:b/>
          <w:bCs/>
          <w:color w:val="2F2F2F"/>
          <w:sz w:val="24"/>
          <w:szCs w:val="24"/>
          <w:lang w:val="ru-RU"/>
        </w:rPr>
      </w:pPr>
    </w:p>
    <w:p w:rsidR="00C5758D" w:rsidRPr="00A12517" w:rsidRDefault="00C5758D" w:rsidP="008D1CF1">
      <w:pPr>
        <w:shd w:val="clear" w:color="auto" w:fill="FFFFFF"/>
        <w:spacing w:line="360" w:lineRule="auto"/>
        <w:ind w:right="-143"/>
        <w:rPr>
          <w:rFonts w:ascii="Times New Roman" w:eastAsia="Times New Roman" w:hAnsi="Times New Roman" w:cs="Times New Roman"/>
          <w:b/>
          <w:bCs/>
          <w:color w:val="2F2F2F"/>
          <w:sz w:val="24"/>
          <w:szCs w:val="24"/>
          <w:lang w:val="ru-RU"/>
        </w:rPr>
      </w:pPr>
    </w:p>
    <w:p w:rsidR="008D1CF1" w:rsidRDefault="008D1CF1" w:rsidP="008D1CF1">
      <w:pPr>
        <w:shd w:val="clear" w:color="auto" w:fill="FFFFFF"/>
        <w:spacing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IV.   МОНИТОРИНГ И ОЦЕНКА</w:t>
      </w:r>
      <w:r w:rsidRPr="00935CE2">
        <w:rPr>
          <w:rFonts w:ascii="Times New Roman" w:eastAsia="Times New Roman" w:hAnsi="Times New Roman" w:cs="Times New Roman"/>
          <w:b/>
          <w:bCs/>
          <w:color w:val="2F2F2F"/>
          <w:sz w:val="24"/>
          <w:szCs w:val="24"/>
          <w:lang w:val="ru-RU"/>
        </w:rPr>
        <w:t xml:space="preserve"> </w:t>
      </w:r>
    </w:p>
    <w:p w:rsidR="007957E8" w:rsidRDefault="007957E8" w:rsidP="007957E8">
      <w:pPr>
        <w:pStyle w:val="a7"/>
      </w:pPr>
      <w:r>
        <w:t xml:space="preserve">Система индикаторов синхронизирована с SNDR 2022–2028 и основана на официальных данных Национального бюро статистики Республики Молдова, доступных через платформу </w:t>
      </w:r>
      <w:proofErr w:type="spellStart"/>
      <w:r>
        <w:t>StatBank</w:t>
      </w:r>
      <w:proofErr w:type="spellEnd"/>
      <w:r>
        <w:t>.</w:t>
      </w:r>
    </w:p>
    <w:p w:rsidR="007957E8" w:rsidRDefault="007957E8" w:rsidP="007957E8">
      <w:pPr>
        <w:rPr>
          <w:lang w:val="ru-RU"/>
        </w:rPr>
      </w:pPr>
    </w:p>
    <w:p w:rsidR="00C5758D" w:rsidRDefault="00C5758D" w:rsidP="007957E8">
      <w:pPr>
        <w:rPr>
          <w:lang w:val="ru-RU"/>
        </w:rPr>
      </w:pPr>
    </w:p>
    <w:p w:rsidR="00C5758D" w:rsidRDefault="00C5758D" w:rsidP="007957E8">
      <w:pPr>
        <w:rPr>
          <w:lang w:val="ru-RU"/>
        </w:rPr>
      </w:pPr>
    </w:p>
    <w:p w:rsidR="00C5758D" w:rsidRDefault="00C5758D" w:rsidP="007957E8">
      <w:pPr>
        <w:rPr>
          <w:lang w:val="ru-RU"/>
        </w:rPr>
      </w:pPr>
    </w:p>
    <w:p w:rsidR="00C5758D" w:rsidRDefault="00C5758D" w:rsidP="007957E8">
      <w:pPr>
        <w:rPr>
          <w:lang w:val="ru-RU"/>
        </w:rPr>
      </w:pPr>
    </w:p>
    <w:p w:rsidR="00C5758D" w:rsidRDefault="00C5758D" w:rsidP="007957E8">
      <w:pPr>
        <w:rPr>
          <w:lang w:val="ru-RU"/>
        </w:rPr>
      </w:pPr>
    </w:p>
    <w:p w:rsidR="00C5758D" w:rsidRPr="00F70993" w:rsidRDefault="00C5758D" w:rsidP="007957E8">
      <w:pPr>
        <w:rPr>
          <w:lang w:val="ru-RU"/>
        </w:rPr>
      </w:pPr>
    </w:p>
    <w:p w:rsidR="007957E8" w:rsidRPr="00C5758D" w:rsidRDefault="007957E8" w:rsidP="007957E8">
      <w:pPr>
        <w:pStyle w:val="2"/>
        <w:rPr>
          <w:rFonts w:ascii="Times New Roman" w:eastAsia="Times New Roman" w:hAnsi="Times New Roman" w:cs="Times New Roman"/>
          <w:b/>
          <w:color w:val="2F2F2F"/>
          <w:sz w:val="28"/>
          <w:szCs w:val="24"/>
          <w:lang w:val="ru-RU"/>
        </w:rPr>
      </w:pPr>
      <w:r w:rsidRPr="007957E8">
        <w:rPr>
          <w:rFonts w:ascii="Times New Roman" w:eastAsia="Times New Roman" w:hAnsi="Times New Roman" w:cs="Times New Roman"/>
          <w:b/>
          <w:color w:val="2F2F2F"/>
          <w:sz w:val="28"/>
          <w:szCs w:val="24"/>
          <w:lang w:val="ru-RU"/>
        </w:rPr>
        <w:lastRenderedPageBreak/>
        <w:t xml:space="preserve">Общие цели и индикаторы </w:t>
      </w:r>
      <w:r w:rsidRPr="00C5758D">
        <w:rPr>
          <w:rFonts w:ascii="Times New Roman" w:eastAsia="Times New Roman" w:hAnsi="Times New Roman" w:cs="Times New Roman"/>
          <w:b/>
          <w:color w:val="2F2F2F"/>
          <w:sz w:val="28"/>
          <w:szCs w:val="24"/>
          <w:lang w:val="ru-RU"/>
        </w:rPr>
        <w:t>мониторинга</w:t>
      </w:r>
    </w:p>
    <w:p w:rsidR="007957E8" w:rsidRPr="007957E8" w:rsidRDefault="007957E8" w:rsidP="007957E8">
      <w:pPr>
        <w:rPr>
          <w:lang w:val="ru-RU"/>
        </w:rPr>
      </w:pPr>
    </w:p>
    <w:tbl>
      <w:tblPr>
        <w:tblW w:w="9502"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8"/>
        <w:gridCol w:w="1871"/>
        <w:gridCol w:w="1871"/>
        <w:gridCol w:w="1871"/>
        <w:gridCol w:w="1871"/>
      </w:tblGrid>
      <w:tr w:rsidR="007957E8" w:rsidTr="00342D2D">
        <w:trPr>
          <w:trHeight w:val="1609"/>
          <w:tblHeader/>
          <w:tblCellSpacing w:w="15" w:type="dxa"/>
        </w:trPr>
        <w:tc>
          <w:tcPr>
            <w:tcW w:w="1973" w:type="dxa"/>
            <w:vAlign w:val="center"/>
            <w:hideMark/>
          </w:tcPr>
          <w:p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Общая</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цель</w:t>
            </w:r>
            <w:proofErr w:type="spellEnd"/>
          </w:p>
        </w:tc>
        <w:tc>
          <w:tcPr>
            <w:tcW w:w="1841" w:type="dxa"/>
            <w:vAlign w:val="center"/>
            <w:hideMark/>
          </w:tcPr>
          <w:p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Индикатор</w:t>
            </w:r>
            <w:proofErr w:type="spellEnd"/>
          </w:p>
        </w:tc>
        <w:tc>
          <w:tcPr>
            <w:tcW w:w="1841" w:type="dxa"/>
            <w:vAlign w:val="center"/>
            <w:hideMark/>
          </w:tcPr>
          <w:p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Базовое</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значение</w:t>
            </w:r>
            <w:proofErr w:type="spellEnd"/>
          </w:p>
        </w:tc>
        <w:tc>
          <w:tcPr>
            <w:tcW w:w="1841" w:type="dxa"/>
            <w:vAlign w:val="center"/>
            <w:hideMark/>
          </w:tcPr>
          <w:p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Целевое</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значение</w:t>
            </w:r>
            <w:proofErr w:type="spellEnd"/>
            <w:r w:rsidRPr="007957E8">
              <w:rPr>
                <w:rFonts w:ascii="Times New Roman" w:hAnsi="Times New Roman" w:cs="Times New Roman"/>
                <w:b/>
                <w:bCs/>
              </w:rPr>
              <w:t xml:space="preserve"> 2028</w:t>
            </w:r>
          </w:p>
        </w:tc>
        <w:tc>
          <w:tcPr>
            <w:tcW w:w="1826" w:type="dxa"/>
            <w:vAlign w:val="center"/>
            <w:hideMark/>
          </w:tcPr>
          <w:p w:rsidR="007957E8" w:rsidRPr="007957E8" w:rsidRDefault="007957E8">
            <w:pPr>
              <w:jc w:val="center"/>
              <w:rPr>
                <w:rFonts w:ascii="Times New Roman" w:hAnsi="Times New Roman" w:cs="Times New Roman"/>
                <w:b/>
                <w:bCs/>
              </w:rPr>
            </w:pPr>
            <w:proofErr w:type="spellStart"/>
            <w:r w:rsidRPr="007957E8">
              <w:rPr>
                <w:rFonts w:ascii="Times New Roman" w:hAnsi="Times New Roman" w:cs="Times New Roman"/>
                <w:b/>
                <w:bCs/>
              </w:rPr>
              <w:t>Прямой</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источник</w:t>
            </w:r>
            <w:proofErr w:type="spellEnd"/>
            <w:r w:rsidRPr="007957E8">
              <w:rPr>
                <w:rFonts w:ascii="Times New Roman" w:hAnsi="Times New Roman" w:cs="Times New Roman"/>
                <w:b/>
                <w:bCs/>
              </w:rPr>
              <w:t xml:space="preserve"> (</w:t>
            </w:r>
            <w:proofErr w:type="spellStart"/>
            <w:r w:rsidRPr="007957E8">
              <w:rPr>
                <w:rFonts w:ascii="Times New Roman" w:hAnsi="Times New Roman" w:cs="Times New Roman"/>
                <w:b/>
                <w:bCs/>
              </w:rPr>
              <w:t>StatBank</w:t>
            </w:r>
            <w:proofErr w:type="spellEnd"/>
            <w:r w:rsidRPr="007957E8">
              <w:rPr>
                <w:rFonts w:ascii="Times New Roman" w:hAnsi="Times New Roman" w:cs="Times New Roman"/>
                <w:b/>
                <w:bCs/>
              </w:rPr>
              <w:t>)</w:t>
            </w:r>
          </w:p>
        </w:tc>
      </w:tr>
      <w:tr w:rsidR="007957E8" w:rsidTr="00342D2D">
        <w:trPr>
          <w:trHeight w:val="1609"/>
          <w:tblCellSpacing w:w="15" w:type="dxa"/>
        </w:trPr>
        <w:tc>
          <w:tcPr>
            <w:tcW w:w="1973" w:type="dxa"/>
            <w:vAlign w:val="center"/>
            <w:hideMark/>
          </w:tcPr>
          <w:p w:rsidR="007957E8" w:rsidRPr="007957E8" w:rsidRDefault="007957E8">
            <w:pPr>
              <w:rPr>
                <w:rFonts w:ascii="Times New Roman" w:hAnsi="Times New Roman" w:cs="Times New Roman"/>
              </w:rPr>
            </w:pPr>
            <w:r w:rsidRPr="007957E8">
              <w:rPr>
                <w:rStyle w:val="a8"/>
                <w:rFonts w:ascii="Times New Roman" w:hAnsi="Times New Roman" w:cs="Times New Roman"/>
              </w:rPr>
              <w:t xml:space="preserve">ОЦ 1. </w:t>
            </w:r>
            <w:proofErr w:type="spellStart"/>
            <w:r w:rsidRPr="007957E8">
              <w:rPr>
                <w:rStyle w:val="a8"/>
                <w:rFonts w:ascii="Times New Roman" w:hAnsi="Times New Roman" w:cs="Times New Roman"/>
              </w:rPr>
              <w:t>Конкурентоспособность</w:t>
            </w:r>
            <w:proofErr w:type="spellEnd"/>
          </w:p>
        </w:tc>
        <w:tc>
          <w:tcPr>
            <w:tcW w:w="1841" w:type="dxa"/>
            <w:vAlign w:val="center"/>
            <w:hideMark/>
          </w:tcPr>
          <w:p w:rsidR="007957E8" w:rsidRPr="007957E8" w:rsidRDefault="007957E8">
            <w:pPr>
              <w:rPr>
                <w:rFonts w:ascii="Times New Roman" w:hAnsi="Times New Roman" w:cs="Times New Roman"/>
                <w:lang w:val="ru-RU"/>
              </w:rPr>
            </w:pPr>
            <w:r w:rsidRPr="007957E8">
              <w:rPr>
                <w:rFonts w:ascii="Times New Roman" w:hAnsi="Times New Roman" w:cs="Times New Roman"/>
                <w:lang w:val="ru-RU"/>
              </w:rPr>
              <w:t>ВРП на душу населения (</w:t>
            </w:r>
            <w:r w:rsidRPr="007957E8">
              <w:rPr>
                <w:rFonts w:ascii="Times New Roman" w:hAnsi="Times New Roman" w:cs="Times New Roman"/>
              </w:rPr>
              <w:t>MDL</w:t>
            </w:r>
            <w:r w:rsidRPr="007957E8">
              <w:rPr>
                <w:rFonts w:ascii="Times New Roman" w:hAnsi="Times New Roman" w:cs="Times New Roman"/>
                <w:lang w:val="ru-RU"/>
              </w:rPr>
              <w:t>/чел.)</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61 597 (2023)</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≥75 000</w:t>
            </w:r>
          </w:p>
        </w:tc>
        <w:tc>
          <w:tcPr>
            <w:tcW w:w="1826"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https://statbank.statistica.md/PxWeb/pxweb/en/30%20Statistica%20regionala/REG010/</w:t>
            </w:r>
          </w:p>
        </w:tc>
      </w:tr>
      <w:tr w:rsidR="007957E8" w:rsidTr="00342D2D">
        <w:trPr>
          <w:trHeight w:val="1609"/>
          <w:tblCellSpacing w:w="15" w:type="dxa"/>
        </w:trPr>
        <w:tc>
          <w:tcPr>
            <w:tcW w:w="1973" w:type="dxa"/>
            <w:vAlign w:val="center"/>
            <w:hideMark/>
          </w:tcPr>
          <w:p w:rsidR="007957E8" w:rsidRPr="007957E8" w:rsidRDefault="007957E8">
            <w:pPr>
              <w:rPr>
                <w:rFonts w:ascii="Times New Roman" w:hAnsi="Times New Roman" w:cs="Times New Roman"/>
              </w:rPr>
            </w:pPr>
          </w:p>
        </w:tc>
        <w:tc>
          <w:tcPr>
            <w:tcW w:w="1841" w:type="dxa"/>
            <w:vAlign w:val="center"/>
            <w:hideMark/>
          </w:tcPr>
          <w:p w:rsidR="007957E8" w:rsidRPr="007957E8" w:rsidRDefault="007957E8">
            <w:pPr>
              <w:rPr>
                <w:rFonts w:ascii="Times New Roman" w:hAnsi="Times New Roman" w:cs="Times New Roman"/>
                <w:sz w:val="24"/>
                <w:szCs w:val="24"/>
              </w:rPr>
            </w:pPr>
            <w:proofErr w:type="spellStart"/>
            <w:r w:rsidRPr="007957E8">
              <w:rPr>
                <w:rFonts w:ascii="Times New Roman" w:hAnsi="Times New Roman" w:cs="Times New Roman"/>
              </w:rPr>
              <w:t>Доля</w:t>
            </w:r>
            <w:proofErr w:type="spellEnd"/>
            <w:r w:rsidRPr="007957E8">
              <w:rPr>
                <w:rFonts w:ascii="Times New Roman" w:hAnsi="Times New Roman" w:cs="Times New Roman"/>
              </w:rPr>
              <w:t xml:space="preserve"> </w:t>
            </w:r>
            <w:proofErr w:type="spellStart"/>
            <w:r w:rsidRPr="007957E8">
              <w:rPr>
                <w:rFonts w:ascii="Times New Roman" w:hAnsi="Times New Roman" w:cs="Times New Roman"/>
              </w:rPr>
              <w:t>региона</w:t>
            </w:r>
            <w:proofErr w:type="spellEnd"/>
            <w:r w:rsidRPr="007957E8">
              <w:rPr>
                <w:rFonts w:ascii="Times New Roman" w:hAnsi="Times New Roman" w:cs="Times New Roman"/>
              </w:rPr>
              <w:t xml:space="preserve"> в ВВП (%)</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2,4% (2023)</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≥2,7%</w:t>
            </w:r>
          </w:p>
        </w:tc>
        <w:tc>
          <w:tcPr>
            <w:tcW w:w="1826"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https://statbank.statistica.md/PxWeb/pxweb/en/30%20Statistica%20regionala/REG010/</w:t>
            </w:r>
          </w:p>
        </w:tc>
      </w:tr>
      <w:tr w:rsidR="007957E8" w:rsidTr="00342D2D">
        <w:trPr>
          <w:trHeight w:val="1609"/>
          <w:tblCellSpacing w:w="15" w:type="dxa"/>
        </w:trPr>
        <w:tc>
          <w:tcPr>
            <w:tcW w:w="1973" w:type="dxa"/>
            <w:vAlign w:val="center"/>
            <w:hideMark/>
          </w:tcPr>
          <w:p w:rsidR="007957E8" w:rsidRPr="007957E8" w:rsidRDefault="007957E8">
            <w:pPr>
              <w:rPr>
                <w:rFonts w:ascii="Times New Roman" w:hAnsi="Times New Roman" w:cs="Times New Roman"/>
              </w:rPr>
            </w:pPr>
            <w:r w:rsidRPr="007957E8">
              <w:rPr>
                <w:rStyle w:val="a8"/>
                <w:rFonts w:ascii="Times New Roman" w:hAnsi="Times New Roman" w:cs="Times New Roman"/>
              </w:rPr>
              <w:t xml:space="preserve">ОЦ 2. </w:t>
            </w:r>
            <w:proofErr w:type="spellStart"/>
            <w:r w:rsidRPr="007957E8">
              <w:rPr>
                <w:rStyle w:val="a8"/>
                <w:rFonts w:ascii="Times New Roman" w:hAnsi="Times New Roman" w:cs="Times New Roman"/>
              </w:rPr>
              <w:t>Территориальная</w:t>
            </w:r>
            <w:proofErr w:type="spellEnd"/>
            <w:r w:rsidRPr="007957E8">
              <w:rPr>
                <w:rStyle w:val="a8"/>
                <w:rFonts w:ascii="Times New Roman" w:hAnsi="Times New Roman" w:cs="Times New Roman"/>
              </w:rPr>
              <w:t xml:space="preserve"> </w:t>
            </w:r>
            <w:proofErr w:type="spellStart"/>
            <w:r w:rsidRPr="007957E8">
              <w:rPr>
                <w:rStyle w:val="a8"/>
                <w:rFonts w:ascii="Times New Roman" w:hAnsi="Times New Roman" w:cs="Times New Roman"/>
              </w:rPr>
              <w:t>сплоченность</w:t>
            </w:r>
            <w:proofErr w:type="spellEnd"/>
          </w:p>
        </w:tc>
        <w:tc>
          <w:tcPr>
            <w:tcW w:w="1841" w:type="dxa"/>
            <w:vAlign w:val="center"/>
            <w:hideMark/>
          </w:tcPr>
          <w:p w:rsidR="007957E8" w:rsidRPr="007957E8" w:rsidRDefault="007957E8">
            <w:pPr>
              <w:rPr>
                <w:rFonts w:ascii="Times New Roman" w:hAnsi="Times New Roman" w:cs="Times New Roman"/>
              </w:rPr>
            </w:pPr>
            <w:proofErr w:type="spellStart"/>
            <w:r w:rsidRPr="007957E8">
              <w:rPr>
                <w:rFonts w:ascii="Times New Roman" w:hAnsi="Times New Roman" w:cs="Times New Roman"/>
              </w:rPr>
              <w:t>Уровень</w:t>
            </w:r>
            <w:proofErr w:type="spellEnd"/>
            <w:r w:rsidRPr="007957E8">
              <w:rPr>
                <w:rFonts w:ascii="Times New Roman" w:hAnsi="Times New Roman" w:cs="Times New Roman"/>
              </w:rPr>
              <w:t xml:space="preserve"> </w:t>
            </w:r>
            <w:proofErr w:type="spellStart"/>
            <w:r w:rsidRPr="007957E8">
              <w:rPr>
                <w:rFonts w:ascii="Times New Roman" w:hAnsi="Times New Roman" w:cs="Times New Roman"/>
              </w:rPr>
              <w:t>занятости</w:t>
            </w:r>
            <w:proofErr w:type="spellEnd"/>
            <w:r w:rsidRPr="007957E8">
              <w:rPr>
                <w:rFonts w:ascii="Times New Roman" w:hAnsi="Times New Roman" w:cs="Times New Roman"/>
              </w:rPr>
              <w:t xml:space="preserve"> (%)</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38% (2024)</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≥42%</w:t>
            </w:r>
          </w:p>
        </w:tc>
        <w:tc>
          <w:tcPr>
            <w:tcW w:w="1826"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https://statbank.statistica.md/PxWeb/pxweb/en/20%20Statistica%20sociala/EMP010/</w:t>
            </w:r>
          </w:p>
        </w:tc>
      </w:tr>
      <w:tr w:rsidR="007957E8" w:rsidTr="00342D2D">
        <w:trPr>
          <w:trHeight w:val="1609"/>
          <w:tblCellSpacing w:w="15" w:type="dxa"/>
        </w:trPr>
        <w:tc>
          <w:tcPr>
            <w:tcW w:w="1973" w:type="dxa"/>
            <w:vAlign w:val="center"/>
            <w:hideMark/>
          </w:tcPr>
          <w:p w:rsidR="007957E8" w:rsidRPr="007957E8" w:rsidRDefault="007957E8">
            <w:pPr>
              <w:rPr>
                <w:rFonts w:ascii="Times New Roman" w:hAnsi="Times New Roman" w:cs="Times New Roman"/>
              </w:rPr>
            </w:pPr>
          </w:p>
        </w:tc>
        <w:tc>
          <w:tcPr>
            <w:tcW w:w="1841" w:type="dxa"/>
            <w:vAlign w:val="center"/>
            <w:hideMark/>
          </w:tcPr>
          <w:p w:rsidR="007957E8" w:rsidRPr="007957E8" w:rsidRDefault="007957E8">
            <w:pPr>
              <w:rPr>
                <w:rFonts w:ascii="Times New Roman" w:hAnsi="Times New Roman" w:cs="Times New Roman"/>
                <w:sz w:val="24"/>
                <w:szCs w:val="24"/>
              </w:rPr>
            </w:pPr>
            <w:proofErr w:type="spellStart"/>
            <w:r w:rsidRPr="007957E8">
              <w:rPr>
                <w:rFonts w:ascii="Times New Roman" w:hAnsi="Times New Roman" w:cs="Times New Roman"/>
              </w:rPr>
              <w:t>Доступ</w:t>
            </w:r>
            <w:proofErr w:type="spellEnd"/>
            <w:r w:rsidRPr="007957E8">
              <w:rPr>
                <w:rFonts w:ascii="Times New Roman" w:hAnsi="Times New Roman" w:cs="Times New Roman"/>
              </w:rPr>
              <w:t xml:space="preserve"> к </w:t>
            </w:r>
            <w:proofErr w:type="spellStart"/>
            <w:r w:rsidRPr="007957E8">
              <w:rPr>
                <w:rFonts w:ascii="Times New Roman" w:hAnsi="Times New Roman" w:cs="Times New Roman"/>
              </w:rPr>
              <w:t>водоснабжению</w:t>
            </w:r>
            <w:proofErr w:type="spellEnd"/>
            <w:r w:rsidRPr="007957E8">
              <w:rPr>
                <w:rFonts w:ascii="Times New Roman" w:hAnsi="Times New Roman" w:cs="Times New Roman"/>
              </w:rPr>
              <w:t xml:space="preserve"> (%)</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75% (2024)</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≥85%</w:t>
            </w:r>
          </w:p>
        </w:tc>
        <w:tc>
          <w:tcPr>
            <w:tcW w:w="1826"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https://statbank.statistica.md/PxWeb/pxweb/en/40%20Statistica%20mediului/EDL010/</w:t>
            </w:r>
          </w:p>
        </w:tc>
      </w:tr>
      <w:tr w:rsidR="007957E8" w:rsidTr="00342D2D">
        <w:trPr>
          <w:trHeight w:val="1609"/>
          <w:tblCellSpacing w:w="15" w:type="dxa"/>
        </w:trPr>
        <w:tc>
          <w:tcPr>
            <w:tcW w:w="1973" w:type="dxa"/>
            <w:vAlign w:val="center"/>
            <w:hideMark/>
          </w:tcPr>
          <w:p w:rsidR="007957E8" w:rsidRPr="007957E8" w:rsidRDefault="007957E8">
            <w:pPr>
              <w:rPr>
                <w:rFonts w:ascii="Times New Roman" w:hAnsi="Times New Roman" w:cs="Times New Roman"/>
              </w:rPr>
            </w:pPr>
          </w:p>
        </w:tc>
        <w:tc>
          <w:tcPr>
            <w:tcW w:w="1841" w:type="dxa"/>
            <w:vAlign w:val="center"/>
            <w:hideMark/>
          </w:tcPr>
          <w:p w:rsidR="007957E8" w:rsidRPr="007957E8" w:rsidRDefault="007957E8">
            <w:pPr>
              <w:rPr>
                <w:rFonts w:ascii="Times New Roman" w:hAnsi="Times New Roman" w:cs="Times New Roman"/>
                <w:sz w:val="24"/>
                <w:szCs w:val="24"/>
              </w:rPr>
            </w:pPr>
            <w:proofErr w:type="spellStart"/>
            <w:r w:rsidRPr="007957E8">
              <w:rPr>
                <w:rFonts w:ascii="Times New Roman" w:hAnsi="Times New Roman" w:cs="Times New Roman"/>
              </w:rPr>
              <w:t>Доступ</w:t>
            </w:r>
            <w:proofErr w:type="spellEnd"/>
            <w:r w:rsidRPr="007957E8">
              <w:rPr>
                <w:rFonts w:ascii="Times New Roman" w:hAnsi="Times New Roman" w:cs="Times New Roman"/>
              </w:rPr>
              <w:t xml:space="preserve"> к </w:t>
            </w:r>
            <w:proofErr w:type="spellStart"/>
            <w:r w:rsidRPr="007957E8">
              <w:rPr>
                <w:rFonts w:ascii="Times New Roman" w:hAnsi="Times New Roman" w:cs="Times New Roman"/>
              </w:rPr>
              <w:t>канализации</w:t>
            </w:r>
            <w:proofErr w:type="spellEnd"/>
            <w:r w:rsidRPr="007957E8">
              <w:rPr>
                <w:rFonts w:ascii="Times New Roman" w:hAnsi="Times New Roman" w:cs="Times New Roman"/>
              </w:rPr>
              <w:t xml:space="preserve"> (%)</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25% (2024)</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≥40%</w:t>
            </w:r>
          </w:p>
        </w:tc>
        <w:tc>
          <w:tcPr>
            <w:tcW w:w="1826"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https://statbank.statistica.md/PxWeb/pxweb/en/40%20Statistica%20mediului/EDL020/</w:t>
            </w:r>
          </w:p>
        </w:tc>
      </w:tr>
      <w:tr w:rsidR="007957E8" w:rsidTr="00342D2D">
        <w:trPr>
          <w:trHeight w:val="1609"/>
          <w:tblCellSpacing w:w="15" w:type="dxa"/>
        </w:trPr>
        <w:tc>
          <w:tcPr>
            <w:tcW w:w="1973" w:type="dxa"/>
            <w:vAlign w:val="center"/>
            <w:hideMark/>
          </w:tcPr>
          <w:p w:rsidR="007957E8" w:rsidRPr="007957E8" w:rsidRDefault="007957E8">
            <w:pPr>
              <w:rPr>
                <w:rFonts w:ascii="Times New Roman" w:hAnsi="Times New Roman" w:cs="Times New Roman"/>
              </w:rPr>
            </w:pPr>
            <w:r w:rsidRPr="007957E8">
              <w:rPr>
                <w:rStyle w:val="a8"/>
                <w:rFonts w:ascii="Times New Roman" w:hAnsi="Times New Roman" w:cs="Times New Roman"/>
              </w:rPr>
              <w:t xml:space="preserve">ОЦ 3. </w:t>
            </w:r>
            <w:proofErr w:type="spellStart"/>
            <w:r w:rsidRPr="007957E8">
              <w:rPr>
                <w:rStyle w:val="a8"/>
                <w:rFonts w:ascii="Times New Roman" w:hAnsi="Times New Roman" w:cs="Times New Roman"/>
              </w:rPr>
              <w:t>Эффективность</w:t>
            </w:r>
            <w:proofErr w:type="spellEnd"/>
            <w:r w:rsidRPr="007957E8">
              <w:rPr>
                <w:rStyle w:val="a8"/>
                <w:rFonts w:ascii="Times New Roman" w:hAnsi="Times New Roman" w:cs="Times New Roman"/>
              </w:rPr>
              <w:t xml:space="preserve"> </w:t>
            </w:r>
            <w:proofErr w:type="spellStart"/>
            <w:r w:rsidRPr="007957E8">
              <w:rPr>
                <w:rStyle w:val="a8"/>
                <w:rFonts w:ascii="Times New Roman" w:hAnsi="Times New Roman" w:cs="Times New Roman"/>
              </w:rPr>
              <w:t>управления</w:t>
            </w:r>
            <w:proofErr w:type="spellEnd"/>
          </w:p>
        </w:tc>
        <w:tc>
          <w:tcPr>
            <w:tcW w:w="1841" w:type="dxa"/>
            <w:vAlign w:val="center"/>
            <w:hideMark/>
          </w:tcPr>
          <w:p w:rsidR="007957E8" w:rsidRPr="007957E8" w:rsidRDefault="007957E8">
            <w:pPr>
              <w:rPr>
                <w:rFonts w:ascii="Times New Roman" w:hAnsi="Times New Roman" w:cs="Times New Roman"/>
              </w:rPr>
            </w:pPr>
            <w:proofErr w:type="spellStart"/>
            <w:r w:rsidRPr="007957E8">
              <w:rPr>
                <w:rFonts w:ascii="Times New Roman" w:hAnsi="Times New Roman" w:cs="Times New Roman"/>
              </w:rPr>
              <w:t>Реализация</w:t>
            </w:r>
            <w:proofErr w:type="spellEnd"/>
            <w:r w:rsidRPr="007957E8">
              <w:rPr>
                <w:rFonts w:ascii="Times New Roman" w:hAnsi="Times New Roman" w:cs="Times New Roman"/>
              </w:rPr>
              <w:t xml:space="preserve"> </w:t>
            </w:r>
            <w:proofErr w:type="spellStart"/>
            <w:r w:rsidRPr="007957E8">
              <w:rPr>
                <w:rFonts w:ascii="Times New Roman" w:hAnsi="Times New Roman" w:cs="Times New Roman"/>
              </w:rPr>
              <w:t>проектов</w:t>
            </w:r>
            <w:proofErr w:type="spellEnd"/>
            <w:r w:rsidRPr="007957E8">
              <w:rPr>
                <w:rFonts w:ascii="Times New Roman" w:hAnsi="Times New Roman" w:cs="Times New Roman"/>
              </w:rPr>
              <w:t xml:space="preserve"> (%)</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~60%</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≥80%</w:t>
            </w:r>
          </w:p>
        </w:tc>
        <w:tc>
          <w:tcPr>
            <w:tcW w:w="1826" w:type="dxa"/>
            <w:vAlign w:val="center"/>
            <w:hideMark/>
          </w:tcPr>
          <w:p w:rsidR="007957E8" w:rsidRPr="007957E8" w:rsidRDefault="007957E8">
            <w:pPr>
              <w:rPr>
                <w:rFonts w:ascii="Times New Roman" w:hAnsi="Times New Roman" w:cs="Times New Roman"/>
                <w:lang w:val="ru-RU"/>
              </w:rPr>
            </w:pPr>
            <w:r>
              <w:rPr>
                <w:rFonts w:ascii="Times New Roman" w:hAnsi="Times New Roman" w:cs="Times New Roman"/>
                <w:lang w:val="ru-RU"/>
              </w:rPr>
              <w:t>АРР Гагаузия</w:t>
            </w:r>
          </w:p>
        </w:tc>
      </w:tr>
      <w:tr w:rsidR="007957E8" w:rsidTr="00342D2D">
        <w:trPr>
          <w:trHeight w:val="1609"/>
          <w:tblCellSpacing w:w="15" w:type="dxa"/>
        </w:trPr>
        <w:tc>
          <w:tcPr>
            <w:tcW w:w="1973" w:type="dxa"/>
            <w:vAlign w:val="center"/>
            <w:hideMark/>
          </w:tcPr>
          <w:p w:rsidR="007957E8" w:rsidRPr="007957E8" w:rsidRDefault="007957E8">
            <w:pPr>
              <w:rPr>
                <w:rFonts w:ascii="Times New Roman" w:hAnsi="Times New Roman" w:cs="Times New Roman"/>
              </w:rPr>
            </w:pPr>
          </w:p>
        </w:tc>
        <w:tc>
          <w:tcPr>
            <w:tcW w:w="1841" w:type="dxa"/>
            <w:vAlign w:val="center"/>
            <w:hideMark/>
          </w:tcPr>
          <w:p w:rsidR="007957E8" w:rsidRPr="007957E8" w:rsidRDefault="007957E8">
            <w:pPr>
              <w:rPr>
                <w:rFonts w:ascii="Times New Roman" w:hAnsi="Times New Roman" w:cs="Times New Roman"/>
                <w:sz w:val="24"/>
                <w:szCs w:val="24"/>
              </w:rPr>
            </w:pPr>
            <w:proofErr w:type="spellStart"/>
            <w:r w:rsidRPr="007957E8">
              <w:rPr>
                <w:rFonts w:ascii="Times New Roman" w:hAnsi="Times New Roman" w:cs="Times New Roman"/>
              </w:rPr>
              <w:t>Освоение</w:t>
            </w:r>
            <w:proofErr w:type="spellEnd"/>
            <w:r w:rsidRPr="007957E8">
              <w:rPr>
                <w:rFonts w:ascii="Times New Roman" w:hAnsi="Times New Roman" w:cs="Times New Roman"/>
              </w:rPr>
              <w:t xml:space="preserve"> </w:t>
            </w:r>
            <w:proofErr w:type="spellStart"/>
            <w:r w:rsidRPr="007957E8">
              <w:rPr>
                <w:rFonts w:ascii="Times New Roman" w:hAnsi="Times New Roman" w:cs="Times New Roman"/>
              </w:rPr>
              <w:t>средств</w:t>
            </w:r>
            <w:proofErr w:type="spellEnd"/>
            <w:r w:rsidRPr="007957E8">
              <w:rPr>
                <w:rFonts w:ascii="Times New Roman" w:hAnsi="Times New Roman" w:cs="Times New Roman"/>
              </w:rPr>
              <w:t xml:space="preserve"> (%)</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~95%</w:t>
            </w:r>
          </w:p>
        </w:tc>
        <w:tc>
          <w:tcPr>
            <w:tcW w:w="1841" w:type="dxa"/>
            <w:vAlign w:val="center"/>
            <w:hideMark/>
          </w:tcPr>
          <w:p w:rsidR="007957E8" w:rsidRPr="007957E8" w:rsidRDefault="007957E8">
            <w:pPr>
              <w:rPr>
                <w:rFonts w:ascii="Times New Roman" w:hAnsi="Times New Roman" w:cs="Times New Roman"/>
              </w:rPr>
            </w:pPr>
            <w:r w:rsidRPr="007957E8">
              <w:rPr>
                <w:rFonts w:ascii="Times New Roman" w:hAnsi="Times New Roman" w:cs="Times New Roman"/>
              </w:rPr>
              <w:t>100%</w:t>
            </w:r>
          </w:p>
        </w:tc>
        <w:tc>
          <w:tcPr>
            <w:tcW w:w="1826" w:type="dxa"/>
            <w:vAlign w:val="center"/>
            <w:hideMark/>
          </w:tcPr>
          <w:p w:rsidR="007957E8" w:rsidRPr="007957E8" w:rsidRDefault="007957E8" w:rsidP="007957E8">
            <w:pPr>
              <w:rPr>
                <w:rFonts w:ascii="Times New Roman" w:hAnsi="Times New Roman" w:cs="Times New Roman"/>
                <w:lang w:val="ru-RU"/>
              </w:rPr>
            </w:pPr>
            <w:r>
              <w:rPr>
                <w:rFonts w:ascii="Times New Roman" w:hAnsi="Times New Roman" w:cs="Times New Roman"/>
                <w:lang w:val="ru-RU"/>
              </w:rPr>
              <w:t>АРР Гагаузия</w:t>
            </w:r>
            <w:r w:rsidRPr="007957E8">
              <w:rPr>
                <w:rFonts w:ascii="Times New Roman" w:hAnsi="Times New Roman" w:cs="Times New Roman"/>
              </w:rPr>
              <w:t xml:space="preserve"> / </w:t>
            </w:r>
            <w:r>
              <w:rPr>
                <w:rFonts w:ascii="Times New Roman" w:hAnsi="Times New Roman" w:cs="Times New Roman"/>
                <w:lang w:val="ru-RU"/>
              </w:rPr>
              <w:t>МИРР</w:t>
            </w:r>
          </w:p>
        </w:tc>
      </w:tr>
    </w:tbl>
    <w:p w:rsidR="008D1CF1" w:rsidRDefault="008D1CF1" w:rsidP="008D1CF1">
      <w:pPr>
        <w:shd w:val="clear" w:color="auto" w:fill="FFFFFF"/>
        <w:spacing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lastRenderedPageBreak/>
        <w:t>V.   МЕРЫ И ПОКАЗАТЕЛИ ВЛИЯНИЯ</w:t>
      </w:r>
      <w:r w:rsidRPr="00A12517">
        <w:rPr>
          <w:rFonts w:ascii="Times New Roman" w:eastAsia="Times New Roman" w:hAnsi="Times New Roman" w:cs="Times New Roman"/>
          <w:b/>
          <w:bCs/>
          <w:color w:val="2F2F2F"/>
          <w:sz w:val="24"/>
          <w:szCs w:val="24"/>
          <w:lang w:val="ru-RU"/>
        </w:rPr>
        <w:t xml:space="preserve"> </w:t>
      </w:r>
    </w:p>
    <w:p w:rsidR="003F6DA9" w:rsidRPr="003F6DA9" w:rsidRDefault="003F6DA9" w:rsidP="00342D2D">
      <w:pPr>
        <w:spacing w:line="240" w:lineRule="auto"/>
        <w:ind w:firstLine="567"/>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 xml:space="preserve">Реализация </w:t>
      </w:r>
      <w:r>
        <w:rPr>
          <w:rFonts w:ascii="Times New Roman" w:eastAsia="Times New Roman" w:hAnsi="Times New Roman" w:cs="Times New Roman"/>
          <w:sz w:val="24"/>
          <w:szCs w:val="24"/>
          <w:lang w:val="ru-RU"/>
        </w:rPr>
        <w:t xml:space="preserve">РОП </w:t>
      </w:r>
      <w:r w:rsidRPr="003F6DA9">
        <w:rPr>
          <w:rFonts w:ascii="Times New Roman" w:eastAsia="Times New Roman" w:hAnsi="Times New Roman" w:cs="Times New Roman"/>
          <w:sz w:val="24"/>
          <w:szCs w:val="24"/>
          <w:lang w:val="ru-RU"/>
        </w:rPr>
        <w:t xml:space="preserve">АТО Гагаузия на 2026–2028 годы станет ключевым инструментом поддержки конкурентоспособности и обеспечения устойчивого развития </w:t>
      </w:r>
      <w:r>
        <w:rPr>
          <w:rFonts w:ascii="Times New Roman" w:eastAsia="Times New Roman" w:hAnsi="Times New Roman" w:cs="Times New Roman"/>
          <w:sz w:val="24"/>
          <w:szCs w:val="24"/>
          <w:lang w:val="ru-RU"/>
        </w:rPr>
        <w:t>РР АТО Гагаузия</w:t>
      </w:r>
      <w:r w:rsidRPr="003F6DA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Данная </w:t>
      </w:r>
      <w:r w:rsidRPr="003F6DA9">
        <w:rPr>
          <w:rFonts w:ascii="Times New Roman" w:eastAsia="Times New Roman" w:hAnsi="Times New Roman" w:cs="Times New Roman"/>
          <w:sz w:val="24"/>
          <w:szCs w:val="24"/>
          <w:lang w:val="ru-RU"/>
        </w:rPr>
        <w:t>Программа направлена на сокращение социально-экономических диспропорций и существенное повышение качества жизни граждан, учитывая текущие региональные уязвимости и внешние вызовы.</w:t>
      </w:r>
    </w:p>
    <w:p w:rsidR="003F6DA9" w:rsidRPr="003F6DA9" w:rsidRDefault="003F6DA9" w:rsidP="00342D2D">
      <w:pPr>
        <w:spacing w:line="240" w:lineRule="auto"/>
        <w:ind w:firstLine="567"/>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В частности, внедрение Программы создаст прочную основу для достижения стратегических целей, закрепленных в ключевых документах национального планирования, таких как:</w:t>
      </w:r>
    </w:p>
    <w:p w:rsidR="003F6DA9" w:rsidRPr="003F6DA9" w:rsidRDefault="003F6DA9" w:rsidP="00342D2D">
      <w:pPr>
        <w:numPr>
          <w:ilvl w:val="0"/>
          <w:numId w:val="23"/>
        </w:numPr>
        <w:spacing w:after="0" w:line="240" w:lineRule="auto"/>
        <w:ind w:left="284" w:firstLine="0"/>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Повестка в области устойчивого развития до 2030 года;</w:t>
      </w:r>
    </w:p>
    <w:p w:rsidR="003F6DA9" w:rsidRPr="003F6DA9" w:rsidRDefault="003F6DA9" w:rsidP="00342D2D">
      <w:pPr>
        <w:numPr>
          <w:ilvl w:val="0"/>
          <w:numId w:val="23"/>
        </w:numPr>
        <w:spacing w:after="0" w:line="240" w:lineRule="auto"/>
        <w:ind w:left="284" w:firstLine="0"/>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Национальная стратегия развития «Европейская Молдова 2030»;</w:t>
      </w:r>
    </w:p>
    <w:p w:rsidR="003F6DA9" w:rsidRPr="003F6DA9" w:rsidRDefault="003F6DA9" w:rsidP="00342D2D">
      <w:pPr>
        <w:numPr>
          <w:ilvl w:val="0"/>
          <w:numId w:val="23"/>
        </w:numPr>
        <w:spacing w:after="0" w:line="240" w:lineRule="auto"/>
        <w:ind w:left="284" w:firstLine="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Национальная с</w:t>
      </w:r>
      <w:r w:rsidRPr="003F6DA9">
        <w:rPr>
          <w:rFonts w:ascii="Times New Roman" w:eastAsia="Times New Roman" w:hAnsi="Times New Roman" w:cs="Times New Roman"/>
          <w:sz w:val="24"/>
          <w:szCs w:val="24"/>
          <w:lang w:val="ru-RU"/>
        </w:rPr>
        <w:t>тратегия регионального развития (</w:t>
      </w:r>
      <w:r>
        <w:rPr>
          <w:rFonts w:ascii="Times New Roman" w:eastAsia="Times New Roman" w:hAnsi="Times New Roman" w:cs="Times New Roman"/>
          <w:sz w:val="24"/>
          <w:szCs w:val="24"/>
          <w:lang w:val="ru-RU"/>
        </w:rPr>
        <w:t>НСРР</w:t>
      </w:r>
      <w:r w:rsidRPr="003F6DA9">
        <w:rPr>
          <w:rFonts w:ascii="Times New Roman" w:eastAsia="Times New Roman" w:hAnsi="Times New Roman" w:cs="Times New Roman"/>
          <w:sz w:val="24"/>
          <w:szCs w:val="24"/>
          <w:lang w:val="ru-RU"/>
        </w:rPr>
        <w:t>) на 2022–2028 гг.;</w:t>
      </w:r>
    </w:p>
    <w:p w:rsidR="003F6DA9" w:rsidRDefault="003F6DA9" w:rsidP="00342D2D">
      <w:pPr>
        <w:numPr>
          <w:ilvl w:val="0"/>
          <w:numId w:val="23"/>
        </w:numPr>
        <w:spacing w:after="0" w:line="240" w:lineRule="auto"/>
        <w:ind w:left="284" w:firstLine="0"/>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Национальная программа развития городов — полюсов роста в Республике Молдова на 2021–2027 гг.</w:t>
      </w:r>
      <w:r>
        <w:rPr>
          <w:rFonts w:ascii="Times New Roman" w:eastAsia="Times New Roman" w:hAnsi="Times New Roman" w:cs="Times New Roman"/>
          <w:sz w:val="24"/>
          <w:szCs w:val="24"/>
          <w:lang w:val="ru-RU"/>
        </w:rPr>
        <w:t xml:space="preserve"> (в части развития </w:t>
      </w:r>
      <w:proofErr w:type="spellStart"/>
      <w:r>
        <w:rPr>
          <w:rFonts w:ascii="Times New Roman" w:eastAsia="Times New Roman" w:hAnsi="Times New Roman" w:cs="Times New Roman"/>
          <w:sz w:val="24"/>
          <w:szCs w:val="24"/>
          <w:lang w:val="ru-RU"/>
        </w:rPr>
        <w:t>мун</w:t>
      </w:r>
      <w:proofErr w:type="spellEnd"/>
      <w:r>
        <w:rPr>
          <w:rFonts w:ascii="Times New Roman" w:eastAsia="Times New Roman" w:hAnsi="Times New Roman" w:cs="Times New Roman"/>
          <w:sz w:val="24"/>
          <w:szCs w:val="24"/>
          <w:lang w:val="ru-RU"/>
        </w:rPr>
        <w:t>. Комрат);</w:t>
      </w:r>
    </w:p>
    <w:p w:rsidR="003F6DA9" w:rsidRPr="003F6DA9" w:rsidRDefault="003F6DA9" w:rsidP="00342D2D">
      <w:pPr>
        <w:numPr>
          <w:ilvl w:val="0"/>
          <w:numId w:val="23"/>
        </w:numPr>
        <w:spacing w:after="0" w:line="240" w:lineRule="auto"/>
        <w:ind w:left="284" w:firstLine="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Руководство по городской </w:t>
      </w:r>
      <w:proofErr w:type="spellStart"/>
      <w:r>
        <w:rPr>
          <w:rFonts w:ascii="Times New Roman" w:eastAsia="Times New Roman" w:hAnsi="Times New Roman" w:cs="Times New Roman"/>
          <w:sz w:val="24"/>
          <w:szCs w:val="24"/>
          <w:lang w:val="ru-RU"/>
        </w:rPr>
        <w:t>ревитализации</w:t>
      </w:r>
      <w:proofErr w:type="spellEnd"/>
      <w:r>
        <w:rPr>
          <w:rFonts w:ascii="Times New Roman" w:eastAsia="Times New Roman" w:hAnsi="Times New Roman" w:cs="Times New Roman"/>
          <w:sz w:val="24"/>
          <w:szCs w:val="24"/>
          <w:lang w:val="ru-RU"/>
        </w:rPr>
        <w:t xml:space="preserve"> в Республике Молдова.</w:t>
      </w:r>
    </w:p>
    <w:p w:rsidR="00342D2D" w:rsidRDefault="00342D2D" w:rsidP="00342D2D">
      <w:pPr>
        <w:spacing w:line="240" w:lineRule="auto"/>
        <w:ind w:left="284"/>
        <w:jc w:val="both"/>
        <w:rPr>
          <w:rFonts w:ascii="Times New Roman" w:eastAsia="Times New Roman" w:hAnsi="Times New Roman" w:cs="Times New Roman"/>
          <w:sz w:val="24"/>
          <w:szCs w:val="24"/>
          <w:lang w:val="ru-RU"/>
        </w:rPr>
      </w:pPr>
    </w:p>
    <w:p w:rsidR="003F6DA9" w:rsidRPr="003F6DA9" w:rsidRDefault="003F6DA9" w:rsidP="00342D2D">
      <w:pPr>
        <w:spacing w:line="240" w:lineRule="auto"/>
        <w:ind w:firstLine="567"/>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Реализация мероприятий будет основываться на основополагающем принципе «никого не оставить позади» (</w:t>
      </w:r>
      <w:proofErr w:type="spellStart"/>
      <w:r w:rsidRPr="003F6DA9">
        <w:rPr>
          <w:rFonts w:ascii="Times New Roman" w:eastAsia="Times New Roman" w:hAnsi="Times New Roman" w:cs="Times New Roman"/>
          <w:sz w:val="24"/>
          <w:szCs w:val="24"/>
          <w:lang w:val="ru-RU"/>
        </w:rPr>
        <w:t>Leave</w:t>
      </w:r>
      <w:proofErr w:type="spellEnd"/>
      <w:r w:rsidRPr="003F6DA9">
        <w:rPr>
          <w:rFonts w:ascii="Times New Roman" w:eastAsia="Times New Roman" w:hAnsi="Times New Roman" w:cs="Times New Roman"/>
          <w:sz w:val="24"/>
          <w:szCs w:val="24"/>
          <w:lang w:val="ru-RU"/>
        </w:rPr>
        <w:t xml:space="preserve"> </w:t>
      </w:r>
      <w:proofErr w:type="spellStart"/>
      <w:r w:rsidRPr="003F6DA9">
        <w:rPr>
          <w:rFonts w:ascii="Times New Roman" w:eastAsia="Times New Roman" w:hAnsi="Times New Roman" w:cs="Times New Roman"/>
          <w:sz w:val="24"/>
          <w:szCs w:val="24"/>
          <w:lang w:val="ru-RU"/>
        </w:rPr>
        <w:t>No</w:t>
      </w:r>
      <w:proofErr w:type="spellEnd"/>
      <w:r w:rsidRPr="003F6DA9">
        <w:rPr>
          <w:rFonts w:ascii="Times New Roman" w:eastAsia="Times New Roman" w:hAnsi="Times New Roman" w:cs="Times New Roman"/>
          <w:sz w:val="24"/>
          <w:szCs w:val="24"/>
          <w:lang w:val="ru-RU"/>
        </w:rPr>
        <w:t xml:space="preserve"> </w:t>
      </w:r>
      <w:proofErr w:type="spellStart"/>
      <w:r w:rsidRPr="003F6DA9">
        <w:rPr>
          <w:rFonts w:ascii="Times New Roman" w:eastAsia="Times New Roman" w:hAnsi="Times New Roman" w:cs="Times New Roman"/>
          <w:sz w:val="24"/>
          <w:szCs w:val="24"/>
          <w:lang w:val="ru-RU"/>
        </w:rPr>
        <w:t>One</w:t>
      </w:r>
      <w:proofErr w:type="spellEnd"/>
      <w:r w:rsidRPr="003F6DA9">
        <w:rPr>
          <w:rFonts w:ascii="Times New Roman" w:eastAsia="Times New Roman" w:hAnsi="Times New Roman" w:cs="Times New Roman"/>
          <w:sz w:val="24"/>
          <w:szCs w:val="24"/>
          <w:lang w:val="ru-RU"/>
        </w:rPr>
        <w:t xml:space="preserve"> </w:t>
      </w:r>
      <w:proofErr w:type="spellStart"/>
      <w:r w:rsidRPr="003F6DA9">
        <w:rPr>
          <w:rFonts w:ascii="Times New Roman" w:eastAsia="Times New Roman" w:hAnsi="Times New Roman" w:cs="Times New Roman"/>
          <w:sz w:val="24"/>
          <w:szCs w:val="24"/>
          <w:lang w:val="ru-RU"/>
        </w:rPr>
        <w:t>Behind</w:t>
      </w:r>
      <w:proofErr w:type="spellEnd"/>
      <w:r w:rsidRPr="003F6DA9">
        <w:rPr>
          <w:rFonts w:ascii="Times New Roman" w:eastAsia="Times New Roman" w:hAnsi="Times New Roman" w:cs="Times New Roman"/>
          <w:sz w:val="24"/>
          <w:szCs w:val="24"/>
          <w:lang w:val="ru-RU"/>
        </w:rPr>
        <w:t xml:space="preserve"> — LNOB). Ожидается, что это принесет значительный мультипликативный эффект в экономической, социальной и демографической сферах, способствуя устранению системных пробелов в развитии автономии и выравниванию региональных показателей.</w:t>
      </w:r>
    </w:p>
    <w:p w:rsidR="003F6DA9" w:rsidRPr="003F6DA9" w:rsidRDefault="003F6DA9" w:rsidP="003F6DA9">
      <w:pPr>
        <w:spacing w:line="240" w:lineRule="auto"/>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Достижение намеченных результатов будет напрямую зависеть от:</w:t>
      </w:r>
    </w:p>
    <w:p w:rsidR="003F6DA9" w:rsidRDefault="003F6DA9" w:rsidP="00342D2D">
      <w:pPr>
        <w:spacing w:after="0" w:line="240" w:lineRule="auto"/>
        <w:ind w:lef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3F6DA9">
        <w:rPr>
          <w:rFonts w:ascii="Times New Roman" w:eastAsia="Times New Roman" w:hAnsi="Times New Roman" w:cs="Times New Roman"/>
          <w:sz w:val="24"/>
          <w:szCs w:val="24"/>
          <w:lang w:val="ru-RU"/>
        </w:rPr>
        <w:t>Эффективного внедрения намеченных политик и мер</w:t>
      </w:r>
      <w:r w:rsidR="0078529C">
        <w:rPr>
          <w:rFonts w:ascii="Times New Roman" w:eastAsia="Times New Roman" w:hAnsi="Times New Roman" w:cs="Times New Roman"/>
          <w:sz w:val="24"/>
          <w:szCs w:val="24"/>
          <w:lang w:val="ru-RU"/>
        </w:rPr>
        <w:t xml:space="preserve"> регионального развития</w:t>
      </w:r>
      <w:r w:rsidRPr="003F6DA9">
        <w:rPr>
          <w:rFonts w:ascii="Times New Roman" w:eastAsia="Times New Roman" w:hAnsi="Times New Roman" w:cs="Times New Roman"/>
          <w:sz w:val="24"/>
          <w:szCs w:val="24"/>
          <w:lang w:val="ru-RU"/>
        </w:rPr>
        <w:t>;</w:t>
      </w:r>
    </w:p>
    <w:p w:rsidR="003F6DA9" w:rsidRDefault="003F6DA9" w:rsidP="00342D2D">
      <w:pPr>
        <w:spacing w:after="0" w:line="240" w:lineRule="auto"/>
        <w:ind w:lef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3F6DA9">
        <w:rPr>
          <w:rFonts w:ascii="Times New Roman" w:eastAsia="Times New Roman" w:hAnsi="Times New Roman" w:cs="Times New Roman"/>
          <w:sz w:val="24"/>
          <w:szCs w:val="24"/>
          <w:lang w:val="ru-RU"/>
        </w:rPr>
        <w:t xml:space="preserve">Активного вовлечения местных органов власти, гражданского общества и бизнеса </w:t>
      </w:r>
      <w:r w:rsidR="0078529C">
        <w:rPr>
          <w:rFonts w:ascii="Times New Roman" w:eastAsia="Times New Roman" w:hAnsi="Times New Roman" w:cs="Times New Roman"/>
          <w:sz w:val="24"/>
          <w:szCs w:val="24"/>
          <w:lang w:val="ru-RU"/>
        </w:rPr>
        <w:t>региона развития</w:t>
      </w:r>
      <w:r w:rsidRPr="003F6DA9">
        <w:rPr>
          <w:rFonts w:ascii="Times New Roman" w:eastAsia="Times New Roman" w:hAnsi="Times New Roman" w:cs="Times New Roman"/>
          <w:sz w:val="24"/>
          <w:szCs w:val="24"/>
          <w:lang w:val="ru-RU"/>
        </w:rPr>
        <w:t>;</w:t>
      </w:r>
    </w:p>
    <w:p w:rsidR="003F6DA9" w:rsidRPr="003F6DA9" w:rsidRDefault="003F6DA9" w:rsidP="00342D2D">
      <w:pPr>
        <w:spacing w:after="0" w:line="240" w:lineRule="auto"/>
        <w:ind w:left="42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3F6DA9">
        <w:rPr>
          <w:rFonts w:ascii="Times New Roman" w:eastAsia="Times New Roman" w:hAnsi="Times New Roman" w:cs="Times New Roman"/>
          <w:sz w:val="24"/>
          <w:szCs w:val="24"/>
          <w:lang w:val="ru-RU"/>
        </w:rPr>
        <w:t xml:space="preserve">Постоянного мониторинга и оценки для гибкой адаптации приоритетов к меняющимся обстоятельствам и реальным потребностям жителей </w:t>
      </w:r>
      <w:r w:rsidR="0078529C">
        <w:rPr>
          <w:rFonts w:ascii="Times New Roman" w:eastAsia="Times New Roman" w:hAnsi="Times New Roman" w:cs="Times New Roman"/>
          <w:sz w:val="24"/>
          <w:szCs w:val="24"/>
          <w:lang w:val="ru-RU"/>
        </w:rPr>
        <w:t>АТО Гагаузия</w:t>
      </w:r>
      <w:r w:rsidRPr="003F6DA9">
        <w:rPr>
          <w:rFonts w:ascii="Times New Roman" w:eastAsia="Times New Roman" w:hAnsi="Times New Roman" w:cs="Times New Roman"/>
          <w:sz w:val="24"/>
          <w:szCs w:val="24"/>
          <w:lang w:val="ru-RU"/>
        </w:rPr>
        <w:t>.</w:t>
      </w:r>
    </w:p>
    <w:p w:rsidR="00342D2D" w:rsidRDefault="00342D2D" w:rsidP="003F6DA9">
      <w:pPr>
        <w:spacing w:line="240" w:lineRule="auto"/>
        <w:jc w:val="both"/>
        <w:rPr>
          <w:rFonts w:ascii="Times New Roman" w:eastAsia="Times New Roman" w:hAnsi="Times New Roman" w:cs="Times New Roman"/>
          <w:sz w:val="24"/>
          <w:szCs w:val="24"/>
          <w:lang w:val="ru-RU"/>
        </w:rPr>
      </w:pPr>
    </w:p>
    <w:p w:rsidR="003F6DA9" w:rsidRPr="003F6DA9" w:rsidRDefault="003F6DA9" w:rsidP="00342D2D">
      <w:pPr>
        <w:spacing w:line="240" w:lineRule="auto"/>
        <w:ind w:firstLine="567"/>
        <w:jc w:val="both"/>
        <w:rPr>
          <w:rFonts w:ascii="Times New Roman" w:eastAsia="Times New Roman" w:hAnsi="Times New Roman" w:cs="Times New Roman"/>
          <w:sz w:val="24"/>
          <w:szCs w:val="24"/>
          <w:lang w:val="ru-RU"/>
        </w:rPr>
      </w:pPr>
      <w:r w:rsidRPr="003F6DA9">
        <w:rPr>
          <w:rFonts w:ascii="Times New Roman" w:eastAsia="Times New Roman" w:hAnsi="Times New Roman" w:cs="Times New Roman"/>
          <w:sz w:val="24"/>
          <w:szCs w:val="24"/>
          <w:lang w:val="ru-RU"/>
        </w:rPr>
        <w:t>В этом контексте итоговое воздействие РОП АТО Гагаузия будет оцениваться на основе установленных индикаторов, которые напрямую отражают динамику качества жизни и благосостояния населения региона в период 2026–2028 гг.</w:t>
      </w:r>
    </w:p>
    <w:p w:rsidR="003F6DA9" w:rsidRPr="00935CE2" w:rsidRDefault="003F6DA9" w:rsidP="003F6DA9">
      <w:pPr>
        <w:shd w:val="clear" w:color="auto" w:fill="FFFFFF"/>
        <w:spacing w:line="360" w:lineRule="auto"/>
        <w:jc w:val="both"/>
        <w:rPr>
          <w:rFonts w:ascii="Times New Roman" w:eastAsia="Times New Roman" w:hAnsi="Times New Roman" w:cs="Times New Roman"/>
          <w:sz w:val="24"/>
          <w:szCs w:val="24"/>
          <w:lang w:val="ru-RU"/>
        </w:rPr>
      </w:pPr>
    </w:p>
    <w:p w:rsidR="008D1CF1" w:rsidRDefault="008D1CF1" w:rsidP="008D1CF1">
      <w:pPr>
        <w:shd w:val="clear" w:color="auto" w:fill="FFFFFF"/>
        <w:spacing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VI.   </w:t>
      </w:r>
      <w:r w:rsidR="00F8082B">
        <w:rPr>
          <w:rFonts w:ascii="Times New Roman" w:eastAsia="Times New Roman" w:hAnsi="Times New Roman" w:cs="Times New Roman"/>
          <w:b/>
          <w:bCs/>
          <w:color w:val="2F2F2F"/>
          <w:sz w:val="24"/>
          <w:szCs w:val="24"/>
          <w:lang w:val="ru-RU"/>
        </w:rPr>
        <w:t>СТОИМОСТЬ</w:t>
      </w:r>
    </w:p>
    <w:p w:rsidR="00E272D0" w:rsidRDefault="00250E32" w:rsidP="00342D2D">
      <w:pPr>
        <w:shd w:val="clear" w:color="auto" w:fill="FFFFFF"/>
        <w:spacing w:line="240" w:lineRule="auto"/>
        <w:ind w:firstLine="567"/>
        <w:jc w:val="both"/>
        <w:rPr>
          <w:rFonts w:ascii="Times New Roman" w:eastAsia="Times New Roman" w:hAnsi="Times New Roman" w:cs="Times New Roman"/>
          <w:sz w:val="24"/>
          <w:szCs w:val="24"/>
          <w:lang w:val="ru-RU"/>
        </w:rPr>
      </w:pPr>
      <w:r w:rsidRPr="00250E32">
        <w:rPr>
          <w:rFonts w:ascii="Times New Roman" w:eastAsia="Times New Roman" w:hAnsi="Times New Roman" w:cs="Times New Roman"/>
          <w:sz w:val="24"/>
          <w:szCs w:val="24"/>
          <w:lang w:val="ru-RU"/>
        </w:rPr>
        <w:t xml:space="preserve">Реализация </w:t>
      </w:r>
      <w:r w:rsidR="00E272D0">
        <w:rPr>
          <w:rFonts w:ascii="Times New Roman" w:eastAsia="Times New Roman" w:hAnsi="Times New Roman" w:cs="Times New Roman"/>
          <w:sz w:val="24"/>
          <w:szCs w:val="24"/>
          <w:lang w:val="ru-RU"/>
        </w:rPr>
        <w:t xml:space="preserve">РОП </w:t>
      </w:r>
      <w:r w:rsidRPr="00250E32">
        <w:rPr>
          <w:rFonts w:ascii="Times New Roman" w:eastAsia="Times New Roman" w:hAnsi="Times New Roman" w:cs="Times New Roman"/>
          <w:sz w:val="24"/>
          <w:szCs w:val="24"/>
          <w:lang w:val="ru-RU"/>
        </w:rPr>
        <w:t>АТО Гагаузия</w:t>
      </w:r>
      <w:r w:rsidR="00E272D0">
        <w:rPr>
          <w:rFonts w:ascii="Times New Roman" w:eastAsia="Times New Roman" w:hAnsi="Times New Roman" w:cs="Times New Roman"/>
          <w:sz w:val="24"/>
          <w:szCs w:val="24"/>
          <w:lang w:val="ru-RU"/>
        </w:rPr>
        <w:t xml:space="preserve"> 2026-2028</w:t>
      </w:r>
      <w:r w:rsidRPr="00250E32">
        <w:rPr>
          <w:rFonts w:ascii="Times New Roman" w:eastAsia="Times New Roman" w:hAnsi="Times New Roman" w:cs="Times New Roman"/>
          <w:sz w:val="24"/>
          <w:szCs w:val="24"/>
          <w:lang w:val="ru-RU"/>
        </w:rPr>
        <w:t xml:space="preserve"> будет осуществляться путем консолидации усилий центральных и местных органов власти, АРР Гагаузия и других профильных структур. Финансирование программных мероприятий предусмотрено за счет ассигнований национального публичного бюджета, выделяемых на региональное развитие автономии, </w:t>
      </w:r>
      <w:r w:rsidR="00E272D0">
        <w:rPr>
          <w:rFonts w:ascii="Times New Roman" w:eastAsia="Times New Roman" w:hAnsi="Times New Roman" w:cs="Times New Roman"/>
          <w:sz w:val="24"/>
          <w:szCs w:val="24"/>
          <w:lang w:val="ru-RU"/>
        </w:rPr>
        <w:t>контрибуций</w:t>
      </w:r>
      <w:r w:rsidRPr="00250E32">
        <w:rPr>
          <w:rFonts w:ascii="Times New Roman" w:eastAsia="Times New Roman" w:hAnsi="Times New Roman" w:cs="Times New Roman"/>
          <w:sz w:val="24"/>
          <w:szCs w:val="24"/>
          <w:lang w:val="ru-RU"/>
        </w:rPr>
        <w:t xml:space="preserve"> бенефициаров, а также внешних ресурсов от партнеров по развитию. Общая оценочная стоимость внедрения программы </w:t>
      </w:r>
      <w:r w:rsidRPr="00F8082B">
        <w:rPr>
          <w:rFonts w:ascii="Times New Roman" w:eastAsia="Times New Roman" w:hAnsi="Times New Roman" w:cs="Times New Roman"/>
          <w:sz w:val="24"/>
          <w:szCs w:val="24"/>
          <w:lang w:val="ru-RU"/>
        </w:rPr>
        <w:t xml:space="preserve">составляет </w:t>
      </w:r>
      <w:r w:rsidR="00F8082B" w:rsidRPr="00F8082B">
        <w:rPr>
          <w:rFonts w:ascii="Times New Roman" w:eastAsia="Times New Roman" w:hAnsi="Times New Roman" w:cs="Times New Roman"/>
          <w:sz w:val="24"/>
          <w:szCs w:val="24"/>
          <w:lang w:val="ru-RU"/>
        </w:rPr>
        <w:t>1 500 558,77</w:t>
      </w:r>
      <w:r w:rsidRPr="00F8082B">
        <w:rPr>
          <w:rFonts w:ascii="Times New Roman" w:eastAsia="Times New Roman" w:hAnsi="Times New Roman" w:cs="Times New Roman"/>
          <w:sz w:val="24"/>
          <w:szCs w:val="24"/>
          <w:lang w:val="ru-RU"/>
        </w:rPr>
        <w:t xml:space="preserve"> </w:t>
      </w:r>
      <w:proofErr w:type="spellStart"/>
      <w:r w:rsidR="00F8082B" w:rsidRPr="00F8082B">
        <w:rPr>
          <w:rFonts w:ascii="Times New Roman" w:eastAsia="Times New Roman" w:hAnsi="Times New Roman" w:cs="Times New Roman"/>
          <w:sz w:val="24"/>
          <w:szCs w:val="24"/>
          <w:lang w:val="ru-RU"/>
        </w:rPr>
        <w:t>тыс.</w:t>
      </w:r>
      <w:r w:rsidRPr="00F8082B">
        <w:rPr>
          <w:rFonts w:ascii="Times New Roman" w:eastAsia="Times New Roman" w:hAnsi="Times New Roman" w:cs="Times New Roman"/>
          <w:sz w:val="24"/>
          <w:szCs w:val="24"/>
          <w:lang w:val="ru-RU"/>
        </w:rPr>
        <w:t>леев</w:t>
      </w:r>
      <w:proofErr w:type="spellEnd"/>
      <w:r w:rsidRPr="00F8082B">
        <w:rPr>
          <w:rFonts w:ascii="Times New Roman" w:eastAsia="Times New Roman" w:hAnsi="Times New Roman" w:cs="Times New Roman"/>
          <w:sz w:val="24"/>
          <w:szCs w:val="24"/>
          <w:lang w:val="ru-RU"/>
        </w:rPr>
        <w:t xml:space="preserve">, из которых __________ леев </w:t>
      </w:r>
      <w:r w:rsidRPr="00250E32">
        <w:rPr>
          <w:rFonts w:ascii="Times New Roman" w:eastAsia="Times New Roman" w:hAnsi="Times New Roman" w:cs="Times New Roman"/>
          <w:sz w:val="24"/>
          <w:szCs w:val="24"/>
          <w:lang w:val="ru-RU"/>
        </w:rPr>
        <w:t>планируется выделить из государственного бюджета</w:t>
      </w:r>
      <w:r w:rsidR="00E272D0">
        <w:rPr>
          <w:rFonts w:ascii="Times New Roman" w:eastAsia="Times New Roman" w:hAnsi="Times New Roman" w:cs="Times New Roman"/>
          <w:sz w:val="24"/>
          <w:szCs w:val="24"/>
          <w:lang w:val="ru-RU"/>
        </w:rPr>
        <w:t xml:space="preserve"> (НФРМР)</w:t>
      </w:r>
      <w:r w:rsidRPr="00250E32">
        <w:rPr>
          <w:rFonts w:ascii="Times New Roman" w:eastAsia="Times New Roman" w:hAnsi="Times New Roman" w:cs="Times New Roman"/>
          <w:sz w:val="24"/>
          <w:szCs w:val="24"/>
          <w:lang w:val="ru-RU"/>
        </w:rPr>
        <w:t xml:space="preserve">, а оставшаяся часть будет покрыта за счет средств вне </w:t>
      </w:r>
      <w:r w:rsidR="00E272D0">
        <w:rPr>
          <w:rFonts w:ascii="Times New Roman" w:eastAsia="Times New Roman" w:hAnsi="Times New Roman" w:cs="Times New Roman"/>
          <w:sz w:val="24"/>
          <w:szCs w:val="24"/>
          <w:lang w:val="ru-RU"/>
        </w:rPr>
        <w:t xml:space="preserve">НФРМР </w:t>
      </w:r>
      <w:r w:rsidR="00E272D0" w:rsidRPr="00250E32">
        <w:rPr>
          <w:rFonts w:ascii="Times New Roman" w:eastAsia="Times New Roman" w:hAnsi="Times New Roman" w:cs="Times New Roman"/>
          <w:sz w:val="24"/>
          <w:szCs w:val="24"/>
          <w:lang w:val="ru-RU"/>
        </w:rPr>
        <w:t>(</w:t>
      </w:r>
      <w:r w:rsidRPr="00250E32">
        <w:rPr>
          <w:rFonts w:ascii="Times New Roman" w:eastAsia="Times New Roman" w:hAnsi="Times New Roman" w:cs="Times New Roman"/>
          <w:sz w:val="24"/>
          <w:szCs w:val="24"/>
          <w:lang w:val="ru-RU"/>
        </w:rPr>
        <w:t xml:space="preserve">вклады заявителей и внешнее финансирование). </w:t>
      </w:r>
    </w:p>
    <w:p w:rsidR="00250E32" w:rsidRDefault="00250E32" w:rsidP="00342D2D">
      <w:pPr>
        <w:shd w:val="clear" w:color="auto" w:fill="FFFFFF"/>
        <w:spacing w:line="240" w:lineRule="auto"/>
        <w:ind w:firstLine="567"/>
        <w:jc w:val="both"/>
        <w:rPr>
          <w:rFonts w:ascii="Times New Roman" w:eastAsia="Times New Roman" w:hAnsi="Times New Roman" w:cs="Times New Roman"/>
          <w:sz w:val="24"/>
          <w:szCs w:val="24"/>
          <w:lang w:val="ru-RU"/>
        </w:rPr>
      </w:pPr>
      <w:r w:rsidRPr="00250E32">
        <w:rPr>
          <w:rFonts w:ascii="Times New Roman" w:eastAsia="Times New Roman" w:hAnsi="Times New Roman" w:cs="Times New Roman"/>
          <w:sz w:val="24"/>
          <w:szCs w:val="24"/>
          <w:lang w:val="ru-RU"/>
        </w:rPr>
        <w:t xml:space="preserve">Объем средств, выделяемых через </w:t>
      </w:r>
      <w:r w:rsidR="00E272D0">
        <w:rPr>
          <w:rFonts w:ascii="Times New Roman" w:eastAsia="Times New Roman" w:hAnsi="Times New Roman" w:cs="Times New Roman"/>
          <w:sz w:val="24"/>
          <w:szCs w:val="24"/>
          <w:lang w:val="ru-RU"/>
        </w:rPr>
        <w:t>НФРМР</w:t>
      </w:r>
      <w:r w:rsidRPr="00250E32">
        <w:rPr>
          <w:rFonts w:ascii="Times New Roman" w:eastAsia="Times New Roman" w:hAnsi="Times New Roman" w:cs="Times New Roman"/>
          <w:sz w:val="24"/>
          <w:szCs w:val="24"/>
          <w:lang w:val="ru-RU"/>
        </w:rPr>
        <w:t xml:space="preserve">, будет ежегодно корректироваться в соответствии с лимитами Среднесрочного прогноза бюджета (CBTM). На основании </w:t>
      </w:r>
      <w:r w:rsidRPr="00250E32">
        <w:rPr>
          <w:rFonts w:ascii="Times New Roman" w:eastAsia="Times New Roman" w:hAnsi="Times New Roman" w:cs="Times New Roman"/>
          <w:sz w:val="24"/>
          <w:szCs w:val="24"/>
          <w:lang w:val="ru-RU"/>
        </w:rPr>
        <w:lastRenderedPageBreak/>
        <w:t xml:space="preserve">решений </w:t>
      </w:r>
      <w:r w:rsidR="00E272D0">
        <w:rPr>
          <w:rFonts w:ascii="Times New Roman" w:eastAsia="Times New Roman" w:hAnsi="Times New Roman" w:cs="Times New Roman"/>
          <w:sz w:val="24"/>
          <w:szCs w:val="24"/>
          <w:lang w:val="ru-RU"/>
        </w:rPr>
        <w:t>НКСРМР</w:t>
      </w:r>
      <w:r w:rsidRPr="00250E32">
        <w:rPr>
          <w:rFonts w:ascii="Times New Roman" w:eastAsia="Times New Roman" w:hAnsi="Times New Roman" w:cs="Times New Roman"/>
          <w:sz w:val="24"/>
          <w:szCs w:val="24"/>
          <w:lang w:val="ru-RU"/>
        </w:rPr>
        <w:t xml:space="preserve"> о распределении средств фон</w:t>
      </w:r>
      <w:r w:rsidR="00E272D0">
        <w:rPr>
          <w:rFonts w:ascii="Times New Roman" w:eastAsia="Times New Roman" w:hAnsi="Times New Roman" w:cs="Times New Roman"/>
          <w:sz w:val="24"/>
          <w:szCs w:val="24"/>
          <w:lang w:val="ru-RU"/>
        </w:rPr>
        <w:t>да будет формироваться годовой П</w:t>
      </w:r>
      <w:r w:rsidRPr="00250E32">
        <w:rPr>
          <w:rFonts w:ascii="Times New Roman" w:eastAsia="Times New Roman" w:hAnsi="Times New Roman" w:cs="Times New Roman"/>
          <w:sz w:val="24"/>
          <w:szCs w:val="24"/>
          <w:lang w:val="ru-RU"/>
        </w:rPr>
        <w:t xml:space="preserve">лан </w:t>
      </w:r>
      <w:r w:rsidR="00E272D0">
        <w:rPr>
          <w:rFonts w:ascii="Times New Roman" w:eastAsia="Times New Roman" w:hAnsi="Times New Roman" w:cs="Times New Roman"/>
          <w:sz w:val="24"/>
          <w:szCs w:val="24"/>
          <w:lang w:val="ru-RU"/>
        </w:rPr>
        <w:t>внедрения РОП</w:t>
      </w:r>
      <w:r w:rsidRPr="00250E32">
        <w:rPr>
          <w:rFonts w:ascii="Times New Roman" w:eastAsia="Times New Roman" w:hAnsi="Times New Roman" w:cs="Times New Roman"/>
          <w:sz w:val="24"/>
          <w:szCs w:val="24"/>
          <w:lang w:val="ru-RU"/>
        </w:rPr>
        <w:t xml:space="preserve"> с уточнением соответствующих расходов.</w:t>
      </w:r>
    </w:p>
    <w:p w:rsidR="007957E8" w:rsidRPr="00935CE2" w:rsidRDefault="007957E8" w:rsidP="00E272D0">
      <w:pPr>
        <w:shd w:val="clear" w:color="auto" w:fill="FFFFFF"/>
        <w:spacing w:line="240" w:lineRule="auto"/>
        <w:jc w:val="both"/>
        <w:rPr>
          <w:rFonts w:ascii="Times New Roman" w:eastAsia="Times New Roman" w:hAnsi="Times New Roman" w:cs="Times New Roman"/>
          <w:sz w:val="24"/>
          <w:szCs w:val="24"/>
          <w:lang w:val="ru-RU"/>
        </w:rPr>
      </w:pPr>
    </w:p>
    <w:p w:rsidR="008D1CF1" w:rsidRDefault="008D1CF1" w:rsidP="008D1CF1">
      <w:pPr>
        <w:shd w:val="clear" w:color="auto" w:fill="FFFFFF"/>
        <w:spacing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VII.   СОПУТСТВУЮЩИЕ РИСКИ</w:t>
      </w:r>
    </w:p>
    <w:p w:rsidR="004E2FE2" w:rsidRDefault="004E2FE2" w:rsidP="00342D2D">
      <w:pPr>
        <w:shd w:val="clear" w:color="auto" w:fill="FFFFFF"/>
        <w:spacing w:line="240" w:lineRule="auto"/>
        <w:ind w:firstLine="567"/>
        <w:jc w:val="both"/>
        <w:rPr>
          <w:rFonts w:ascii="Times New Roman" w:eastAsia="Times New Roman" w:hAnsi="Times New Roman" w:cs="Times New Roman"/>
          <w:bCs/>
          <w:color w:val="2F2F2F"/>
          <w:sz w:val="24"/>
          <w:szCs w:val="24"/>
          <w:lang w:val="ru-RU"/>
        </w:rPr>
      </w:pPr>
      <w:r w:rsidRPr="004E2FE2">
        <w:rPr>
          <w:rFonts w:ascii="Times New Roman" w:eastAsia="Times New Roman" w:hAnsi="Times New Roman" w:cs="Times New Roman"/>
          <w:bCs/>
          <w:color w:val="2F2F2F"/>
          <w:sz w:val="24"/>
          <w:szCs w:val="24"/>
          <w:lang w:val="ru-RU"/>
        </w:rPr>
        <w:t>Эффективное планирование и надлежащее сотрудничество между всеми стейкхолдерами, участвующими в этом процессе, предполагает и максимальную реализацию РОП АТО Гагаузия на 2026-2</w:t>
      </w:r>
      <w:r w:rsidR="00250E32">
        <w:rPr>
          <w:rFonts w:ascii="Times New Roman" w:eastAsia="Times New Roman" w:hAnsi="Times New Roman" w:cs="Times New Roman"/>
          <w:bCs/>
          <w:color w:val="2F2F2F"/>
          <w:sz w:val="24"/>
          <w:szCs w:val="24"/>
          <w:lang w:val="ru-RU"/>
        </w:rPr>
        <w:t>028.  Однако в ходе реализации П</w:t>
      </w:r>
      <w:r w:rsidRPr="004E2FE2">
        <w:rPr>
          <w:rFonts w:ascii="Times New Roman" w:eastAsia="Times New Roman" w:hAnsi="Times New Roman" w:cs="Times New Roman"/>
          <w:bCs/>
          <w:color w:val="2F2F2F"/>
          <w:sz w:val="24"/>
          <w:szCs w:val="24"/>
          <w:lang w:val="ru-RU"/>
        </w:rPr>
        <w:t>рограммы может возникнуть ряд рисков/проблем, которые могут повлиять на выполнение мероприятий, такие как:</w:t>
      </w:r>
    </w:p>
    <w:tbl>
      <w:tblPr>
        <w:tblStyle w:val="a4"/>
        <w:tblW w:w="0" w:type="auto"/>
        <w:tblInd w:w="-147" w:type="dxa"/>
        <w:tblLayout w:type="fixed"/>
        <w:tblLook w:val="04A0" w:firstRow="1" w:lastRow="0" w:firstColumn="1" w:lastColumn="0" w:noHBand="0" w:noVBand="1"/>
      </w:tblPr>
      <w:tblGrid>
        <w:gridCol w:w="2269"/>
        <w:gridCol w:w="2409"/>
        <w:gridCol w:w="1134"/>
        <w:gridCol w:w="1418"/>
        <w:gridCol w:w="2262"/>
      </w:tblGrid>
      <w:tr w:rsidR="000C5E4A" w:rsidTr="00342D2D">
        <w:tc>
          <w:tcPr>
            <w:tcW w:w="2269" w:type="dxa"/>
          </w:tcPr>
          <w:p w:rsidR="001D6373" w:rsidRPr="002565F2" w:rsidRDefault="001D6373" w:rsidP="001D6373">
            <w:pP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Категории рисков</w:t>
            </w:r>
          </w:p>
        </w:tc>
        <w:tc>
          <w:tcPr>
            <w:tcW w:w="2409" w:type="dxa"/>
          </w:tcPr>
          <w:p w:rsidR="001D6373" w:rsidRPr="002565F2" w:rsidRDefault="001D6373" w:rsidP="001D6373">
            <w:pPr>
              <w:spacing w:line="360" w:lineRule="auto"/>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Типы рисков</w:t>
            </w:r>
          </w:p>
        </w:tc>
        <w:tc>
          <w:tcPr>
            <w:tcW w:w="1134" w:type="dxa"/>
          </w:tcPr>
          <w:p w:rsidR="000C5E4A" w:rsidRPr="002565F2" w:rsidRDefault="000C5E4A" w:rsidP="002565F2">
            <w:pPr>
              <w:jc w:val="center"/>
              <w:rPr>
                <w:rFonts w:ascii="Times New Roman" w:eastAsia="Times New Roman" w:hAnsi="Times New Roman" w:cs="Times New Roman"/>
                <w:szCs w:val="24"/>
                <w:lang w:val="ru-RU"/>
              </w:rPr>
            </w:pPr>
            <w:r w:rsidRPr="002565F2">
              <w:rPr>
                <w:rFonts w:ascii="Times New Roman" w:eastAsia="Times New Roman" w:hAnsi="Times New Roman" w:cs="Times New Roman"/>
                <w:b/>
                <w:bCs/>
                <w:color w:val="000000"/>
                <w:szCs w:val="24"/>
                <w:lang w:val="ru-RU"/>
              </w:rPr>
              <w:t>Влияние</w:t>
            </w:r>
          </w:p>
          <w:p w:rsidR="000C5E4A" w:rsidRPr="002565F2" w:rsidRDefault="000C5E4A" w:rsidP="002565F2">
            <w:pPr>
              <w:ind w:left="-114" w:right="-108"/>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(высокое/</w:t>
            </w:r>
          </w:p>
          <w:p w:rsidR="002565F2" w:rsidRDefault="000C5E4A" w:rsidP="002565F2">
            <w:pPr>
              <w:ind w:left="-114" w:right="-108"/>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среднее/</w:t>
            </w:r>
          </w:p>
          <w:p w:rsidR="001D6373" w:rsidRPr="002565F2" w:rsidRDefault="00A47FBF" w:rsidP="002565F2">
            <w:pPr>
              <w:ind w:left="-114" w:right="-108"/>
              <w:jc w:val="center"/>
              <w:rPr>
                <w:rFonts w:ascii="Times New Roman" w:eastAsia="Times New Roman" w:hAnsi="Times New Roman" w:cs="Times New Roman"/>
                <w:b/>
                <w:bCs/>
                <w:color w:val="000000"/>
                <w:szCs w:val="24"/>
                <w:lang w:val="ru-RU"/>
              </w:rPr>
            </w:pPr>
            <w:r>
              <w:rPr>
                <w:rFonts w:ascii="Times New Roman" w:eastAsia="Times New Roman" w:hAnsi="Times New Roman" w:cs="Times New Roman"/>
                <w:b/>
                <w:bCs/>
                <w:color w:val="000000"/>
                <w:szCs w:val="24"/>
                <w:lang w:val="ru-RU"/>
              </w:rPr>
              <w:t>слабое</w:t>
            </w:r>
          </w:p>
        </w:tc>
        <w:tc>
          <w:tcPr>
            <w:tcW w:w="1418" w:type="dxa"/>
          </w:tcPr>
          <w:p w:rsidR="001D6373" w:rsidRDefault="001D6373" w:rsidP="00E12005">
            <w:pPr>
              <w:jc w:val="center"/>
              <w:rPr>
                <w:rFonts w:ascii="Times New Roman" w:eastAsia="Times New Roman" w:hAnsi="Times New Roman" w:cs="Times New Roman"/>
                <w:b/>
                <w:bCs/>
                <w:color w:val="000000"/>
                <w:szCs w:val="24"/>
                <w:lang w:val="ru-RU"/>
              </w:rPr>
            </w:pPr>
            <w:proofErr w:type="spellStart"/>
            <w:r w:rsidRPr="002565F2">
              <w:rPr>
                <w:rFonts w:ascii="Times New Roman" w:eastAsia="Times New Roman" w:hAnsi="Times New Roman" w:cs="Times New Roman"/>
                <w:b/>
                <w:bCs/>
                <w:color w:val="000000"/>
                <w:szCs w:val="24"/>
                <w:lang w:val="ru-RU"/>
              </w:rPr>
              <w:t>Вероят</w:t>
            </w:r>
            <w:r w:rsidR="00E12005">
              <w:rPr>
                <w:rFonts w:ascii="Times New Roman" w:eastAsia="Times New Roman" w:hAnsi="Times New Roman" w:cs="Times New Roman"/>
                <w:b/>
                <w:bCs/>
                <w:color w:val="000000"/>
                <w:szCs w:val="24"/>
                <w:lang w:val="ru-RU"/>
              </w:rPr>
              <w:t>-</w:t>
            </w:r>
            <w:r w:rsidRPr="002565F2">
              <w:rPr>
                <w:rFonts w:ascii="Times New Roman" w:eastAsia="Times New Roman" w:hAnsi="Times New Roman" w:cs="Times New Roman"/>
                <w:b/>
                <w:bCs/>
                <w:color w:val="000000"/>
                <w:szCs w:val="24"/>
                <w:lang w:val="ru-RU"/>
              </w:rPr>
              <w:t>ность</w:t>
            </w:r>
            <w:proofErr w:type="spellEnd"/>
          </w:p>
          <w:p w:rsidR="002565F2" w:rsidRPr="002565F2" w:rsidRDefault="002565F2" w:rsidP="00E12005">
            <w:pPr>
              <w:ind w:left="-114" w:right="-108"/>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(высокое/</w:t>
            </w:r>
          </w:p>
          <w:p w:rsidR="002565F2" w:rsidRDefault="002565F2" w:rsidP="00E12005">
            <w:pPr>
              <w:ind w:left="-114" w:right="-108"/>
              <w:jc w:val="cente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среднее/</w:t>
            </w:r>
          </w:p>
          <w:p w:rsidR="002565F2" w:rsidRPr="002565F2" w:rsidRDefault="00A47FBF" w:rsidP="00E12005">
            <w:pPr>
              <w:jc w:val="center"/>
              <w:rPr>
                <w:rFonts w:ascii="Times New Roman" w:eastAsia="Times New Roman" w:hAnsi="Times New Roman" w:cs="Times New Roman"/>
                <w:b/>
                <w:bCs/>
                <w:color w:val="000000"/>
                <w:szCs w:val="24"/>
                <w:lang w:val="ru-RU"/>
              </w:rPr>
            </w:pPr>
            <w:r>
              <w:rPr>
                <w:rFonts w:ascii="Times New Roman" w:eastAsia="Times New Roman" w:hAnsi="Times New Roman" w:cs="Times New Roman"/>
                <w:b/>
                <w:bCs/>
                <w:color w:val="000000"/>
                <w:szCs w:val="24"/>
                <w:lang w:val="ru-RU"/>
              </w:rPr>
              <w:t>слабое</w:t>
            </w:r>
            <w:r w:rsidR="002565F2" w:rsidRPr="002565F2">
              <w:rPr>
                <w:rFonts w:ascii="Times New Roman" w:eastAsia="Times New Roman" w:hAnsi="Times New Roman" w:cs="Times New Roman"/>
                <w:b/>
                <w:bCs/>
                <w:color w:val="000000"/>
                <w:szCs w:val="24"/>
                <w:lang w:val="ru-RU"/>
              </w:rPr>
              <w:t>)</w:t>
            </w:r>
          </w:p>
        </w:tc>
        <w:tc>
          <w:tcPr>
            <w:tcW w:w="2262" w:type="dxa"/>
          </w:tcPr>
          <w:p w:rsidR="001D6373" w:rsidRPr="002565F2" w:rsidRDefault="001D6373" w:rsidP="001D6373">
            <w:pPr>
              <w:rPr>
                <w:rFonts w:ascii="Times New Roman" w:eastAsia="Times New Roman" w:hAnsi="Times New Roman" w:cs="Times New Roman"/>
                <w:b/>
                <w:bCs/>
                <w:color w:val="000000"/>
                <w:szCs w:val="24"/>
                <w:lang w:val="ru-RU"/>
              </w:rPr>
            </w:pPr>
            <w:r w:rsidRPr="002565F2">
              <w:rPr>
                <w:rFonts w:ascii="Times New Roman" w:eastAsia="Times New Roman" w:hAnsi="Times New Roman" w:cs="Times New Roman"/>
                <w:b/>
                <w:bCs/>
                <w:color w:val="000000"/>
                <w:szCs w:val="24"/>
                <w:lang w:val="ru-RU"/>
              </w:rPr>
              <w:t>Меры по смягчению последствий</w:t>
            </w:r>
          </w:p>
        </w:tc>
      </w:tr>
      <w:tr w:rsidR="00E12005" w:rsidRPr="0005655F" w:rsidTr="00342D2D">
        <w:tc>
          <w:tcPr>
            <w:tcW w:w="2269" w:type="dxa"/>
            <w:vMerge w:val="restart"/>
          </w:tcPr>
          <w:p w:rsidR="00E12005" w:rsidRPr="001D6373" w:rsidRDefault="00E12005" w:rsidP="002565F2">
            <w:pPr>
              <w:rPr>
                <w:rFonts w:ascii="Times New Roman" w:eastAsia="Times New Roman" w:hAnsi="Times New Roman" w:cs="Times New Roman"/>
                <w:b/>
                <w:bCs/>
                <w:color w:val="000000"/>
                <w:sz w:val="24"/>
                <w:szCs w:val="24"/>
                <w:lang w:val="ru-RU"/>
              </w:rPr>
            </w:pPr>
            <w:r w:rsidRPr="001D6373">
              <w:rPr>
                <w:rFonts w:ascii="Times New Roman" w:eastAsia="Times New Roman" w:hAnsi="Times New Roman" w:cs="Times New Roman"/>
                <w:b/>
                <w:bCs/>
                <w:color w:val="000000"/>
                <w:sz w:val="24"/>
                <w:szCs w:val="24"/>
                <w:lang w:val="ru-RU"/>
              </w:rPr>
              <w:t>Риски</w:t>
            </w:r>
          </w:p>
          <w:p w:rsidR="00E12005" w:rsidRDefault="00E12005" w:rsidP="002565F2">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т</w:t>
            </w:r>
            <w:r w:rsidRPr="001D6373">
              <w:rPr>
                <w:rFonts w:ascii="Times New Roman" w:eastAsia="Times New Roman" w:hAnsi="Times New Roman" w:cs="Times New Roman"/>
                <w:b/>
                <w:bCs/>
                <w:color w:val="000000"/>
                <w:sz w:val="24"/>
                <w:szCs w:val="24"/>
                <w:lang w:val="ru-RU"/>
              </w:rPr>
              <w:t>ехнологические</w:t>
            </w:r>
          </w:p>
        </w:tc>
        <w:tc>
          <w:tcPr>
            <w:tcW w:w="2409" w:type="dxa"/>
          </w:tcPr>
          <w:p w:rsidR="00E12005" w:rsidRDefault="00E12005" w:rsidP="002565F2">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color w:val="000000"/>
                <w:sz w:val="24"/>
                <w:szCs w:val="24"/>
                <w:lang w:val="ru-RU"/>
              </w:rPr>
              <w:t>Отсутствие актуализированной технической документации для инфраструктурных проектов.</w:t>
            </w:r>
          </w:p>
        </w:tc>
        <w:tc>
          <w:tcPr>
            <w:tcW w:w="1134" w:type="dxa"/>
          </w:tcPr>
          <w:p w:rsidR="00E12005" w:rsidRPr="00E12005" w:rsidRDefault="00E12005" w:rsidP="002565F2">
            <w:pPr>
              <w:rPr>
                <w:b/>
              </w:rPr>
            </w:pPr>
            <w:r w:rsidRPr="00E12005">
              <w:rPr>
                <w:rFonts w:ascii="Times New Roman" w:eastAsia="Times New Roman" w:hAnsi="Times New Roman" w:cs="Times New Roman"/>
                <w:b/>
                <w:bCs/>
                <w:color w:val="000000"/>
                <w:szCs w:val="24"/>
                <w:lang w:val="ru-RU"/>
              </w:rPr>
              <w:t>Высокое</w:t>
            </w:r>
          </w:p>
        </w:tc>
        <w:tc>
          <w:tcPr>
            <w:tcW w:w="1418" w:type="dxa"/>
          </w:tcPr>
          <w:p w:rsidR="00E12005" w:rsidRPr="00E12005" w:rsidRDefault="0078529C" w:rsidP="002565F2">
            <w:pPr>
              <w:rPr>
                <w:rFonts w:ascii="Times New Roman" w:eastAsia="Times New Roman" w:hAnsi="Times New Roman" w:cs="Times New Roman"/>
                <w:b/>
                <w:bCs/>
                <w:color w:val="000000"/>
                <w:sz w:val="24"/>
                <w:szCs w:val="24"/>
                <w:lang w:val="ro-MD"/>
              </w:rPr>
            </w:pPr>
            <w:r>
              <w:rPr>
                <w:rFonts w:ascii="Times New Roman" w:eastAsia="Times New Roman" w:hAnsi="Times New Roman" w:cs="Times New Roman"/>
                <w:b/>
                <w:bCs/>
                <w:color w:val="000000"/>
                <w:szCs w:val="24"/>
                <w:lang w:val="ru-RU"/>
              </w:rPr>
              <w:t>Высокая</w:t>
            </w:r>
          </w:p>
        </w:tc>
        <w:tc>
          <w:tcPr>
            <w:tcW w:w="2262" w:type="dxa"/>
          </w:tcPr>
          <w:p w:rsidR="00E12005" w:rsidRDefault="00E12005" w:rsidP="002565F2">
            <w:pPr>
              <w:ind w:right="-115"/>
              <w:rPr>
                <w:rFonts w:ascii="Times New Roman" w:eastAsia="Times New Roman" w:hAnsi="Times New Roman" w:cs="Times New Roman"/>
                <w:bCs/>
                <w:color w:val="000000"/>
                <w:sz w:val="24"/>
                <w:szCs w:val="24"/>
                <w:lang w:val="ru-RU"/>
              </w:rPr>
            </w:pPr>
            <w:r w:rsidRPr="002565F2">
              <w:rPr>
                <w:rFonts w:ascii="Times New Roman" w:eastAsia="Times New Roman" w:hAnsi="Times New Roman" w:cs="Times New Roman"/>
                <w:bCs/>
                <w:color w:val="000000"/>
                <w:sz w:val="24"/>
                <w:szCs w:val="24"/>
                <w:lang w:val="ru-RU"/>
              </w:rPr>
              <w:t>Постоянное информирование и предоставление необходимой консультационной поддержки ОМПУ в процессе разработки технической документации</w:t>
            </w:r>
          </w:p>
          <w:p w:rsidR="00E12005" w:rsidRPr="002565F2" w:rsidRDefault="00E12005" w:rsidP="002565F2">
            <w:pPr>
              <w:ind w:right="-115"/>
              <w:rPr>
                <w:rFonts w:ascii="Times New Roman" w:eastAsia="Times New Roman" w:hAnsi="Times New Roman" w:cs="Times New Roman"/>
                <w:bCs/>
                <w:color w:val="000000"/>
                <w:sz w:val="24"/>
                <w:szCs w:val="24"/>
                <w:lang w:val="ru-RU"/>
              </w:rPr>
            </w:pPr>
          </w:p>
        </w:tc>
      </w:tr>
      <w:tr w:rsidR="0011677C" w:rsidRPr="0005655F" w:rsidTr="00342D2D">
        <w:tc>
          <w:tcPr>
            <w:tcW w:w="2269" w:type="dxa"/>
            <w:vMerge/>
          </w:tcPr>
          <w:p w:rsidR="0011677C" w:rsidRDefault="0011677C" w:rsidP="0011677C">
            <w:pPr>
              <w:spacing w:line="360" w:lineRule="auto"/>
              <w:rPr>
                <w:rFonts w:ascii="Times New Roman" w:eastAsia="Times New Roman" w:hAnsi="Times New Roman" w:cs="Times New Roman"/>
                <w:b/>
                <w:bCs/>
                <w:color w:val="000000"/>
                <w:sz w:val="24"/>
                <w:szCs w:val="24"/>
                <w:lang w:val="ru-RU"/>
              </w:rPr>
            </w:pPr>
          </w:p>
        </w:tc>
        <w:tc>
          <w:tcPr>
            <w:tcW w:w="2409" w:type="dxa"/>
          </w:tcPr>
          <w:p w:rsidR="0011677C" w:rsidRPr="0011677C" w:rsidRDefault="0011677C" w:rsidP="0011677C">
            <w:pPr>
              <w:rPr>
                <w:rFonts w:ascii="Times New Roman" w:eastAsia="Times New Roman" w:hAnsi="Times New Roman" w:cs="Times New Roman"/>
                <w:bCs/>
                <w:color w:val="000000"/>
                <w:sz w:val="24"/>
                <w:szCs w:val="24"/>
                <w:lang w:val="ru-RU"/>
              </w:rPr>
            </w:pPr>
            <w:r w:rsidRPr="0011677C">
              <w:rPr>
                <w:rFonts w:ascii="Times New Roman" w:eastAsia="Times New Roman" w:hAnsi="Times New Roman" w:cs="Times New Roman"/>
                <w:bCs/>
                <w:color w:val="000000"/>
                <w:sz w:val="24"/>
                <w:szCs w:val="24"/>
                <w:lang w:val="ru-RU"/>
              </w:rPr>
              <w:t>Низкое качество технической документации -</w:t>
            </w:r>
          </w:p>
          <w:p w:rsidR="0011677C" w:rsidRPr="002565F2" w:rsidRDefault="0011677C" w:rsidP="0011677C">
            <w:pPr>
              <w:rPr>
                <w:rFonts w:ascii="Times New Roman" w:eastAsia="Times New Roman" w:hAnsi="Times New Roman" w:cs="Times New Roman"/>
                <w:bCs/>
                <w:color w:val="000000"/>
                <w:sz w:val="24"/>
                <w:szCs w:val="24"/>
                <w:lang w:val="ru-RU"/>
              </w:rPr>
            </w:pPr>
            <w:r w:rsidRPr="0011677C">
              <w:rPr>
                <w:rFonts w:ascii="Times New Roman" w:eastAsia="Times New Roman" w:hAnsi="Times New Roman" w:cs="Times New Roman"/>
                <w:bCs/>
                <w:color w:val="000000"/>
                <w:sz w:val="24"/>
                <w:szCs w:val="24"/>
                <w:lang w:val="ru-RU"/>
              </w:rPr>
              <w:t>с пропусками, несоответствиями, ошибками, требующими исправления.</w:t>
            </w:r>
          </w:p>
        </w:tc>
        <w:tc>
          <w:tcPr>
            <w:tcW w:w="1134" w:type="dxa"/>
          </w:tcPr>
          <w:p w:rsidR="0011677C" w:rsidRPr="00E12005" w:rsidRDefault="0011677C" w:rsidP="0011677C">
            <w:pPr>
              <w:rPr>
                <w:b/>
              </w:rPr>
            </w:pPr>
            <w:r w:rsidRPr="00E12005">
              <w:rPr>
                <w:rFonts w:ascii="Times New Roman" w:eastAsia="Times New Roman" w:hAnsi="Times New Roman" w:cs="Times New Roman"/>
                <w:b/>
                <w:bCs/>
                <w:color w:val="000000"/>
                <w:szCs w:val="24"/>
                <w:lang w:val="ru-RU"/>
              </w:rPr>
              <w:t>Высокое</w:t>
            </w:r>
          </w:p>
        </w:tc>
        <w:tc>
          <w:tcPr>
            <w:tcW w:w="1418" w:type="dxa"/>
          </w:tcPr>
          <w:p w:rsidR="0011677C" w:rsidRPr="00E12005" w:rsidRDefault="0078529C" w:rsidP="0011677C">
            <w:pPr>
              <w:rPr>
                <w:rFonts w:ascii="Times New Roman" w:eastAsia="Times New Roman" w:hAnsi="Times New Roman" w:cs="Times New Roman"/>
                <w:b/>
                <w:bCs/>
                <w:color w:val="000000"/>
                <w:sz w:val="24"/>
                <w:szCs w:val="24"/>
                <w:lang w:val="ro-MD"/>
              </w:rPr>
            </w:pPr>
            <w:r>
              <w:rPr>
                <w:rFonts w:ascii="Times New Roman" w:eastAsia="Times New Roman" w:hAnsi="Times New Roman" w:cs="Times New Roman"/>
                <w:b/>
                <w:bCs/>
                <w:color w:val="000000"/>
                <w:szCs w:val="24"/>
                <w:lang w:val="ru-RU"/>
              </w:rPr>
              <w:t>Высокая</w:t>
            </w:r>
          </w:p>
        </w:tc>
        <w:tc>
          <w:tcPr>
            <w:tcW w:w="2262" w:type="dxa"/>
          </w:tcPr>
          <w:p w:rsidR="0011677C" w:rsidRPr="0011677C" w:rsidRDefault="0011677C" w:rsidP="0011677C">
            <w:pPr>
              <w:rPr>
                <w:rFonts w:ascii="Times New Roman" w:eastAsia="Times New Roman" w:hAnsi="Times New Roman" w:cs="Times New Roman"/>
                <w:bCs/>
                <w:color w:val="000000"/>
                <w:sz w:val="24"/>
                <w:szCs w:val="24"/>
                <w:lang w:val="ru-RU"/>
              </w:rPr>
            </w:pPr>
            <w:r w:rsidRPr="0011677C">
              <w:rPr>
                <w:rFonts w:ascii="Times New Roman" w:eastAsia="Times New Roman" w:hAnsi="Times New Roman" w:cs="Times New Roman"/>
                <w:bCs/>
                <w:color w:val="000000"/>
                <w:sz w:val="24"/>
                <w:szCs w:val="24"/>
                <w:lang w:val="ru-RU"/>
              </w:rPr>
              <w:t>Подбор опытных проектно-консалтинговых фирм для разработки качественной техдокументации.</w:t>
            </w:r>
          </w:p>
        </w:tc>
      </w:tr>
      <w:tr w:rsidR="0011677C" w:rsidRPr="0005655F" w:rsidTr="00342D2D">
        <w:tc>
          <w:tcPr>
            <w:tcW w:w="2269" w:type="dxa"/>
          </w:tcPr>
          <w:p w:rsidR="0011677C" w:rsidRDefault="0011677C" w:rsidP="0011677C">
            <w:pPr>
              <w:spacing w:line="360" w:lineRule="auto"/>
              <w:rPr>
                <w:rFonts w:ascii="Times New Roman" w:eastAsia="Times New Roman" w:hAnsi="Times New Roman" w:cs="Times New Roman"/>
                <w:b/>
                <w:bCs/>
                <w:color w:val="000000"/>
                <w:sz w:val="24"/>
                <w:szCs w:val="24"/>
                <w:lang w:val="ru-RU"/>
              </w:rPr>
            </w:pPr>
          </w:p>
        </w:tc>
        <w:tc>
          <w:tcPr>
            <w:tcW w:w="2409" w:type="dxa"/>
          </w:tcPr>
          <w:p w:rsidR="0011677C" w:rsidRPr="002565F2" w:rsidRDefault="0011677C" w:rsidP="0011677C">
            <w:pPr>
              <w:rPr>
                <w:rFonts w:ascii="Times New Roman" w:eastAsia="Times New Roman" w:hAnsi="Times New Roman" w:cs="Times New Roman"/>
                <w:bCs/>
                <w:color w:val="000000"/>
                <w:sz w:val="24"/>
                <w:szCs w:val="24"/>
                <w:lang w:val="ru-RU"/>
              </w:rPr>
            </w:pPr>
            <w:r w:rsidRPr="002565F2">
              <w:rPr>
                <w:rFonts w:ascii="Times New Roman" w:eastAsia="Times New Roman" w:hAnsi="Times New Roman" w:cs="Times New Roman"/>
                <w:bCs/>
                <w:color w:val="000000"/>
                <w:sz w:val="24"/>
                <w:szCs w:val="24"/>
                <w:lang w:val="ru-RU"/>
              </w:rPr>
              <w:t>Повторяющиеся процедуры государственных закупок приводят к серьезным задержкам в реализации проектов.</w:t>
            </w:r>
          </w:p>
        </w:tc>
        <w:tc>
          <w:tcPr>
            <w:tcW w:w="1134" w:type="dxa"/>
          </w:tcPr>
          <w:p w:rsidR="0011677C" w:rsidRPr="00E12005" w:rsidRDefault="0011677C" w:rsidP="0011677C">
            <w:pPr>
              <w:rPr>
                <w:b/>
              </w:rPr>
            </w:pPr>
            <w:r w:rsidRPr="00E12005">
              <w:rPr>
                <w:rFonts w:ascii="Times New Roman" w:eastAsia="Times New Roman" w:hAnsi="Times New Roman" w:cs="Times New Roman"/>
                <w:b/>
                <w:bCs/>
                <w:color w:val="000000"/>
                <w:szCs w:val="24"/>
                <w:lang w:val="ru-RU"/>
              </w:rPr>
              <w:t>Высокое</w:t>
            </w:r>
          </w:p>
        </w:tc>
        <w:tc>
          <w:tcPr>
            <w:tcW w:w="1418" w:type="dxa"/>
          </w:tcPr>
          <w:p w:rsidR="0011677C" w:rsidRPr="00E12005" w:rsidRDefault="0078529C" w:rsidP="0011677C">
            <w:pPr>
              <w:spacing w:line="360"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Средняя</w:t>
            </w:r>
          </w:p>
        </w:tc>
        <w:tc>
          <w:tcPr>
            <w:tcW w:w="2262" w:type="dxa"/>
          </w:tcPr>
          <w:p w:rsidR="0011677C" w:rsidRPr="00E12005" w:rsidRDefault="0011677C" w:rsidP="0011677C">
            <w:pPr>
              <w:rPr>
                <w:rFonts w:ascii="Times New Roman" w:eastAsia="Times New Roman" w:hAnsi="Times New Roman" w:cs="Times New Roman"/>
                <w:bCs/>
                <w:color w:val="000000"/>
                <w:sz w:val="24"/>
                <w:szCs w:val="24"/>
                <w:lang w:val="ru-RU"/>
              </w:rPr>
            </w:pPr>
            <w:r w:rsidRPr="00E12005">
              <w:rPr>
                <w:rFonts w:ascii="Times New Roman" w:eastAsia="Times New Roman" w:hAnsi="Times New Roman" w:cs="Times New Roman"/>
                <w:bCs/>
                <w:color w:val="000000"/>
                <w:sz w:val="24"/>
                <w:szCs w:val="24"/>
                <w:lang w:val="ru-RU"/>
              </w:rPr>
              <w:t>Разработка качественных технических проектов;</w:t>
            </w:r>
          </w:p>
          <w:p w:rsidR="0011677C" w:rsidRPr="00E12005" w:rsidRDefault="0011677C" w:rsidP="0011677C">
            <w:pPr>
              <w:rPr>
                <w:rFonts w:ascii="Times New Roman" w:eastAsia="Times New Roman" w:hAnsi="Times New Roman" w:cs="Times New Roman"/>
                <w:bCs/>
                <w:color w:val="000000"/>
                <w:sz w:val="24"/>
                <w:szCs w:val="24"/>
                <w:lang w:val="ru-RU"/>
              </w:rPr>
            </w:pPr>
            <w:r w:rsidRPr="00E12005">
              <w:rPr>
                <w:rFonts w:ascii="Times New Roman" w:eastAsia="Times New Roman" w:hAnsi="Times New Roman" w:cs="Times New Roman"/>
                <w:bCs/>
                <w:color w:val="000000"/>
                <w:sz w:val="24"/>
                <w:szCs w:val="24"/>
                <w:lang w:val="ru-RU"/>
              </w:rPr>
              <w:t>Разработка качественной документации по заключению контрактов;</w:t>
            </w:r>
          </w:p>
          <w:p w:rsidR="0011677C" w:rsidRDefault="0011677C" w:rsidP="0011677C">
            <w:pPr>
              <w:rPr>
                <w:rFonts w:ascii="Times New Roman" w:eastAsia="Times New Roman" w:hAnsi="Times New Roman" w:cs="Times New Roman"/>
                <w:b/>
                <w:bCs/>
                <w:color w:val="000000"/>
                <w:sz w:val="24"/>
                <w:szCs w:val="24"/>
                <w:lang w:val="ru-RU"/>
              </w:rPr>
            </w:pPr>
            <w:r w:rsidRPr="00E12005">
              <w:rPr>
                <w:rFonts w:ascii="Times New Roman" w:eastAsia="Times New Roman" w:hAnsi="Times New Roman" w:cs="Times New Roman"/>
                <w:bCs/>
                <w:color w:val="000000"/>
                <w:sz w:val="24"/>
                <w:szCs w:val="24"/>
                <w:lang w:val="ru-RU"/>
              </w:rPr>
              <w:t>Обеспечение массового участия экономических операторов в процедурах присуждения контрактов.</w:t>
            </w:r>
          </w:p>
        </w:tc>
      </w:tr>
      <w:tr w:rsidR="0011677C" w:rsidTr="00342D2D">
        <w:tc>
          <w:tcPr>
            <w:tcW w:w="2269" w:type="dxa"/>
            <w:vMerge w:val="restart"/>
          </w:tcPr>
          <w:p w:rsidR="0011677C" w:rsidRDefault="0011677C" w:rsidP="00A47FBF">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lastRenderedPageBreak/>
              <w:t>Управленческие</w:t>
            </w:r>
            <w:r w:rsidRPr="001D6373">
              <w:rPr>
                <w:rFonts w:ascii="Times New Roman" w:eastAsia="Times New Roman" w:hAnsi="Times New Roman" w:cs="Times New Roman"/>
                <w:b/>
                <w:bCs/>
                <w:color w:val="000000"/>
                <w:sz w:val="24"/>
                <w:szCs w:val="24"/>
                <w:lang w:val="ru-RU"/>
              </w:rPr>
              <w:t xml:space="preserve"> / Операционные риски</w:t>
            </w:r>
          </w:p>
        </w:tc>
        <w:tc>
          <w:tcPr>
            <w:tcW w:w="2409" w:type="dxa"/>
          </w:tcPr>
          <w:p w:rsidR="0011677C" w:rsidRPr="00A47FBF" w:rsidRDefault="0011677C" w:rsidP="00A47FBF">
            <w:pPr>
              <w:rPr>
                <w:rFonts w:ascii="Times New Roman" w:eastAsia="Times New Roman" w:hAnsi="Times New Roman" w:cs="Times New Roman"/>
                <w:bCs/>
                <w:color w:val="000000"/>
                <w:sz w:val="24"/>
                <w:szCs w:val="24"/>
                <w:lang w:val="ru-RU"/>
              </w:rPr>
            </w:pPr>
            <w:r>
              <w:rPr>
                <w:rFonts w:ascii="Times New Roman" w:eastAsia="Times New Roman" w:hAnsi="Times New Roman" w:cs="Times New Roman"/>
                <w:color w:val="000000"/>
                <w:sz w:val="24"/>
                <w:szCs w:val="24"/>
                <w:lang w:val="ru-RU"/>
              </w:rPr>
              <w:t>Низкий потенциал органов местной власти для мобилизации ресурсов для со-финансирования проектов регионального развития.</w:t>
            </w:r>
          </w:p>
        </w:tc>
        <w:tc>
          <w:tcPr>
            <w:tcW w:w="1134" w:type="dxa"/>
          </w:tcPr>
          <w:p w:rsidR="0011677C" w:rsidRPr="00A47FBF" w:rsidRDefault="0011677C" w:rsidP="00A47FBF">
            <w:pPr>
              <w:rPr>
                <w:rFonts w:ascii="Times New Roman" w:eastAsia="Times New Roman" w:hAnsi="Times New Roman" w:cs="Times New Roman"/>
                <w:b/>
                <w:bCs/>
                <w:color w:val="000000"/>
                <w:szCs w:val="24"/>
                <w:lang w:val="ru-RU"/>
              </w:rPr>
            </w:pPr>
            <w:r w:rsidRPr="00A47FBF">
              <w:rPr>
                <w:rFonts w:ascii="Times New Roman" w:eastAsia="Times New Roman" w:hAnsi="Times New Roman" w:cs="Times New Roman"/>
                <w:b/>
                <w:bCs/>
                <w:color w:val="000000"/>
                <w:szCs w:val="24"/>
                <w:lang w:val="ru-RU"/>
              </w:rPr>
              <w:t>Высокое</w:t>
            </w:r>
          </w:p>
        </w:tc>
        <w:tc>
          <w:tcPr>
            <w:tcW w:w="1418" w:type="dxa"/>
          </w:tcPr>
          <w:p w:rsidR="0011677C" w:rsidRPr="00A47FBF" w:rsidRDefault="0078529C" w:rsidP="00A47FBF">
            <w:pPr>
              <w:rPr>
                <w:rFonts w:ascii="Times New Roman" w:eastAsia="Times New Roman" w:hAnsi="Times New Roman" w:cs="Times New Roman"/>
                <w:b/>
                <w:bCs/>
                <w:color w:val="000000"/>
                <w:szCs w:val="24"/>
                <w:lang w:val="ru-RU"/>
              </w:rPr>
            </w:pPr>
            <w:r>
              <w:rPr>
                <w:rFonts w:ascii="Times New Roman" w:eastAsia="Times New Roman" w:hAnsi="Times New Roman" w:cs="Times New Roman"/>
                <w:b/>
                <w:bCs/>
                <w:color w:val="000000"/>
                <w:szCs w:val="24"/>
                <w:lang w:val="ru-RU"/>
              </w:rPr>
              <w:t>Средняя</w:t>
            </w:r>
          </w:p>
        </w:tc>
        <w:tc>
          <w:tcPr>
            <w:tcW w:w="2262" w:type="dxa"/>
          </w:tcPr>
          <w:p w:rsidR="0011677C" w:rsidRDefault="0011677C" w:rsidP="00A47FBF">
            <w:pPr>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Внедрение мер по обеспечению потенциала OМПУ в привлечении финансирования.</w:t>
            </w:r>
          </w:p>
          <w:p w:rsidR="0011677C" w:rsidRDefault="0011677C" w:rsidP="00A47FBF">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color w:val="000000"/>
                <w:sz w:val="24"/>
                <w:szCs w:val="24"/>
                <w:lang w:val="ru-RU"/>
              </w:rPr>
              <w:t>Содействие установлению партнерских отношений.</w:t>
            </w:r>
          </w:p>
        </w:tc>
      </w:tr>
      <w:tr w:rsidR="0011677C" w:rsidRPr="0005655F" w:rsidTr="00342D2D">
        <w:tc>
          <w:tcPr>
            <w:tcW w:w="2269" w:type="dxa"/>
            <w:vMerge/>
          </w:tcPr>
          <w:p w:rsidR="0011677C" w:rsidRDefault="0011677C" w:rsidP="003F6DA9">
            <w:pPr>
              <w:spacing w:line="360" w:lineRule="auto"/>
              <w:rPr>
                <w:rFonts w:ascii="Times New Roman" w:eastAsia="Times New Roman" w:hAnsi="Times New Roman" w:cs="Times New Roman"/>
                <w:b/>
                <w:bCs/>
                <w:color w:val="000000"/>
                <w:sz w:val="24"/>
                <w:szCs w:val="24"/>
                <w:lang w:val="ru-RU"/>
              </w:rPr>
            </w:pPr>
          </w:p>
        </w:tc>
        <w:tc>
          <w:tcPr>
            <w:tcW w:w="2409" w:type="dxa"/>
          </w:tcPr>
          <w:p w:rsidR="0011677C" w:rsidRPr="00A47FBF" w:rsidRDefault="0011677C" w:rsidP="00A47FBF">
            <w:pPr>
              <w:rPr>
                <w:rFonts w:ascii="Times New Roman" w:eastAsia="Times New Roman" w:hAnsi="Times New Roman" w:cs="Times New Roman"/>
                <w:bCs/>
                <w:color w:val="000000"/>
                <w:sz w:val="24"/>
                <w:szCs w:val="24"/>
                <w:lang w:val="ru-RU"/>
              </w:rPr>
            </w:pPr>
            <w:r w:rsidRPr="00A47FBF">
              <w:rPr>
                <w:rFonts w:ascii="Times New Roman" w:eastAsia="Times New Roman" w:hAnsi="Times New Roman" w:cs="Times New Roman"/>
                <w:bCs/>
                <w:color w:val="000000"/>
                <w:sz w:val="24"/>
                <w:szCs w:val="24"/>
                <w:lang w:val="ru-RU"/>
              </w:rPr>
              <w:t>Недостаточный институциональный и финансовый потенциал действующих в регионе операторов публичных услуг в части регионализации</w:t>
            </w:r>
          </w:p>
        </w:tc>
        <w:tc>
          <w:tcPr>
            <w:tcW w:w="1134" w:type="dxa"/>
          </w:tcPr>
          <w:p w:rsidR="0011677C" w:rsidRDefault="0011677C" w:rsidP="00A47FBF">
            <w:pPr>
              <w:spacing w:line="360" w:lineRule="auto"/>
              <w:ind w:left="-113"/>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 xml:space="preserve">Высокое </w:t>
            </w:r>
          </w:p>
        </w:tc>
        <w:tc>
          <w:tcPr>
            <w:tcW w:w="1418" w:type="dxa"/>
          </w:tcPr>
          <w:p w:rsidR="0011677C" w:rsidRDefault="0011677C" w:rsidP="003F6DA9">
            <w:pPr>
              <w:spacing w:line="360"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Вы</w:t>
            </w:r>
            <w:r w:rsidR="0078529C">
              <w:rPr>
                <w:rFonts w:ascii="Times New Roman" w:eastAsia="Times New Roman" w:hAnsi="Times New Roman" w:cs="Times New Roman"/>
                <w:b/>
                <w:bCs/>
                <w:color w:val="000000"/>
                <w:sz w:val="24"/>
                <w:szCs w:val="24"/>
                <w:lang w:val="ru-RU"/>
              </w:rPr>
              <w:t>сокая</w:t>
            </w:r>
          </w:p>
        </w:tc>
        <w:tc>
          <w:tcPr>
            <w:tcW w:w="2262" w:type="dxa"/>
          </w:tcPr>
          <w:p w:rsidR="0011677C" w:rsidRPr="00A47FBF" w:rsidRDefault="0011677C" w:rsidP="00A47FBF">
            <w:pPr>
              <w:rPr>
                <w:rFonts w:ascii="Times New Roman" w:eastAsia="Times New Roman" w:hAnsi="Times New Roman" w:cs="Times New Roman"/>
                <w:bCs/>
                <w:color w:val="000000"/>
                <w:sz w:val="24"/>
                <w:szCs w:val="24"/>
                <w:lang w:val="ru-RU"/>
              </w:rPr>
            </w:pPr>
            <w:r w:rsidRPr="00A47FBF">
              <w:rPr>
                <w:rFonts w:ascii="Times New Roman" w:eastAsia="Times New Roman" w:hAnsi="Times New Roman" w:cs="Times New Roman"/>
                <w:bCs/>
                <w:color w:val="000000"/>
                <w:sz w:val="24"/>
                <w:szCs w:val="24"/>
                <w:lang w:val="ru-RU"/>
              </w:rPr>
              <w:t>Инициирование исследований возможностей для расширения государственных услуг на региональном уровне.</w:t>
            </w:r>
          </w:p>
          <w:p w:rsidR="0011677C" w:rsidRDefault="0011677C" w:rsidP="002D3623">
            <w:pPr>
              <w:rPr>
                <w:rFonts w:ascii="Times New Roman" w:eastAsia="Times New Roman" w:hAnsi="Times New Roman" w:cs="Times New Roman"/>
                <w:b/>
                <w:bCs/>
                <w:color w:val="000000"/>
                <w:sz w:val="24"/>
                <w:szCs w:val="24"/>
                <w:lang w:val="ru-RU"/>
              </w:rPr>
            </w:pPr>
            <w:r w:rsidRPr="00A47FBF">
              <w:rPr>
                <w:rFonts w:ascii="Times New Roman" w:eastAsia="Times New Roman" w:hAnsi="Times New Roman" w:cs="Times New Roman"/>
                <w:bCs/>
                <w:color w:val="000000"/>
                <w:sz w:val="24"/>
                <w:szCs w:val="24"/>
                <w:lang w:val="ru-RU"/>
              </w:rPr>
              <w:t>Развитие инициатив по поддержке меж</w:t>
            </w:r>
            <w:r>
              <w:rPr>
                <w:rFonts w:ascii="Times New Roman" w:eastAsia="Times New Roman" w:hAnsi="Times New Roman" w:cs="Times New Roman"/>
                <w:bCs/>
                <w:color w:val="000000"/>
                <w:sz w:val="24"/>
                <w:szCs w:val="24"/>
                <w:lang w:val="ru-RU"/>
              </w:rPr>
              <w:t xml:space="preserve">муниципального </w:t>
            </w:r>
            <w:r w:rsidRPr="00A47FBF">
              <w:rPr>
                <w:rFonts w:ascii="Times New Roman" w:eastAsia="Times New Roman" w:hAnsi="Times New Roman" w:cs="Times New Roman"/>
                <w:bCs/>
                <w:color w:val="000000"/>
                <w:sz w:val="24"/>
                <w:szCs w:val="24"/>
                <w:lang w:val="ru-RU"/>
              </w:rPr>
              <w:t>сотрудничества в оказании услуг.</w:t>
            </w:r>
          </w:p>
        </w:tc>
      </w:tr>
      <w:tr w:rsidR="0011677C" w:rsidTr="00342D2D">
        <w:tc>
          <w:tcPr>
            <w:tcW w:w="2269" w:type="dxa"/>
            <w:vMerge/>
          </w:tcPr>
          <w:p w:rsidR="0011677C" w:rsidRDefault="0011677C" w:rsidP="002D3623">
            <w:pPr>
              <w:spacing w:line="360" w:lineRule="auto"/>
              <w:rPr>
                <w:rFonts w:ascii="Times New Roman" w:eastAsia="Times New Roman" w:hAnsi="Times New Roman" w:cs="Times New Roman"/>
                <w:b/>
                <w:bCs/>
                <w:color w:val="000000"/>
                <w:sz w:val="24"/>
                <w:szCs w:val="24"/>
                <w:lang w:val="ru-RU"/>
              </w:rPr>
            </w:pPr>
          </w:p>
        </w:tc>
        <w:tc>
          <w:tcPr>
            <w:tcW w:w="2409" w:type="dxa"/>
          </w:tcPr>
          <w:p w:rsidR="0011677C" w:rsidRPr="00A47FBF" w:rsidRDefault="0011677C" w:rsidP="002D3623">
            <w:pPr>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 xml:space="preserve">Недостаточная </w:t>
            </w:r>
            <w:r w:rsidRPr="002D3623">
              <w:rPr>
                <w:rFonts w:ascii="Times New Roman" w:eastAsia="Times New Roman" w:hAnsi="Times New Roman" w:cs="Times New Roman"/>
                <w:bCs/>
                <w:color w:val="000000"/>
                <w:sz w:val="24"/>
                <w:szCs w:val="24"/>
                <w:lang w:val="ru-RU"/>
              </w:rPr>
              <w:t>активность</w:t>
            </w:r>
            <w:r>
              <w:rPr>
                <w:rFonts w:ascii="Times New Roman" w:eastAsia="Times New Roman" w:hAnsi="Times New Roman" w:cs="Times New Roman"/>
                <w:bCs/>
                <w:color w:val="000000"/>
                <w:sz w:val="24"/>
                <w:szCs w:val="24"/>
                <w:lang w:val="ru-RU"/>
              </w:rPr>
              <w:t xml:space="preserve"> </w:t>
            </w:r>
            <w:r w:rsidRPr="002D3623">
              <w:rPr>
                <w:rFonts w:ascii="Times New Roman" w:eastAsia="Times New Roman" w:hAnsi="Times New Roman" w:cs="Times New Roman"/>
                <w:bCs/>
                <w:color w:val="000000"/>
                <w:sz w:val="24"/>
                <w:szCs w:val="24"/>
                <w:lang w:val="ru-RU"/>
              </w:rPr>
              <w:t xml:space="preserve"> </w:t>
            </w:r>
            <w:r>
              <w:rPr>
                <w:rFonts w:ascii="Times New Roman" w:eastAsia="Times New Roman" w:hAnsi="Times New Roman" w:cs="Times New Roman"/>
                <w:bCs/>
                <w:color w:val="000000"/>
                <w:sz w:val="24"/>
                <w:szCs w:val="24"/>
                <w:lang w:val="ru-RU"/>
              </w:rPr>
              <w:t xml:space="preserve"> и ограниченные навыки </w:t>
            </w:r>
            <w:r w:rsidRPr="002D3623">
              <w:rPr>
                <w:rFonts w:ascii="Times New Roman" w:eastAsia="Times New Roman" w:hAnsi="Times New Roman" w:cs="Times New Roman"/>
                <w:bCs/>
                <w:color w:val="000000"/>
                <w:sz w:val="24"/>
                <w:szCs w:val="24"/>
                <w:lang w:val="ru-RU"/>
              </w:rPr>
              <w:t xml:space="preserve">ОМПУ в инициировании </w:t>
            </w:r>
            <w:r>
              <w:rPr>
                <w:rFonts w:ascii="Times New Roman" w:eastAsia="Times New Roman" w:hAnsi="Times New Roman" w:cs="Times New Roman"/>
                <w:bCs/>
                <w:color w:val="000000"/>
                <w:sz w:val="24"/>
                <w:szCs w:val="24"/>
                <w:lang w:val="ru-RU"/>
              </w:rPr>
              <w:t xml:space="preserve">и реализации </w:t>
            </w:r>
            <w:r w:rsidRPr="002D3623">
              <w:rPr>
                <w:rFonts w:ascii="Times New Roman" w:eastAsia="Times New Roman" w:hAnsi="Times New Roman" w:cs="Times New Roman"/>
                <w:bCs/>
                <w:color w:val="000000"/>
                <w:sz w:val="24"/>
                <w:szCs w:val="24"/>
                <w:lang w:val="ru-RU"/>
              </w:rPr>
              <w:t>региональных проектов</w:t>
            </w:r>
          </w:p>
        </w:tc>
        <w:tc>
          <w:tcPr>
            <w:tcW w:w="1134" w:type="dxa"/>
          </w:tcPr>
          <w:p w:rsidR="0011677C" w:rsidRDefault="0011677C" w:rsidP="002D3623">
            <w:pP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Среднее</w:t>
            </w:r>
          </w:p>
        </w:tc>
        <w:tc>
          <w:tcPr>
            <w:tcW w:w="1418" w:type="dxa"/>
          </w:tcPr>
          <w:p w:rsidR="0011677C" w:rsidRDefault="0078529C" w:rsidP="002D3623">
            <w:pPr>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Средняя</w:t>
            </w:r>
          </w:p>
        </w:tc>
        <w:tc>
          <w:tcPr>
            <w:tcW w:w="2262" w:type="dxa"/>
          </w:tcPr>
          <w:p w:rsidR="0011677C" w:rsidRPr="00A47FBF" w:rsidRDefault="0011677C" w:rsidP="002D3623">
            <w:pPr>
              <w:rPr>
                <w:rFonts w:ascii="Times New Roman" w:eastAsia="Times New Roman" w:hAnsi="Times New Roman" w:cs="Times New Roman"/>
                <w:bCs/>
                <w:color w:val="000000"/>
                <w:sz w:val="24"/>
                <w:szCs w:val="24"/>
                <w:lang w:val="ru-RU"/>
              </w:rPr>
            </w:pPr>
            <w:r>
              <w:rPr>
                <w:rFonts w:ascii="Times New Roman" w:eastAsia="Times New Roman" w:hAnsi="Times New Roman" w:cs="Times New Roman"/>
                <w:color w:val="000000"/>
                <w:sz w:val="24"/>
                <w:szCs w:val="24"/>
                <w:lang w:val="ru-RU"/>
              </w:rPr>
              <w:t>Информирование ОМПУ о политике регионального развития и возможностях финансирования региональных проектов.</w:t>
            </w:r>
            <w:r w:rsidRPr="002D3623">
              <w:rPr>
                <w:rFonts w:ascii="Times New Roman" w:eastAsia="Times New Roman" w:hAnsi="Times New Roman" w:cs="Times New Roman"/>
                <w:bCs/>
                <w:color w:val="000000"/>
                <w:sz w:val="24"/>
                <w:szCs w:val="24"/>
                <w:lang w:val="ru-RU"/>
              </w:rPr>
              <w:t xml:space="preserve"> Организация и проведение информационных сессий/тренингов для </w:t>
            </w:r>
            <w:r>
              <w:rPr>
                <w:rFonts w:ascii="Times New Roman" w:eastAsia="Times New Roman" w:hAnsi="Times New Roman" w:cs="Times New Roman"/>
                <w:bCs/>
                <w:color w:val="000000"/>
                <w:sz w:val="24"/>
                <w:szCs w:val="24"/>
                <w:lang w:val="ru-RU"/>
              </w:rPr>
              <w:t>ОМПУ</w:t>
            </w:r>
            <w:r w:rsidRPr="002D3623">
              <w:rPr>
                <w:rFonts w:ascii="Times New Roman" w:eastAsia="Times New Roman" w:hAnsi="Times New Roman" w:cs="Times New Roman"/>
                <w:bCs/>
                <w:color w:val="000000"/>
                <w:sz w:val="24"/>
                <w:szCs w:val="24"/>
                <w:lang w:val="ru-RU"/>
              </w:rPr>
              <w:t>.</w:t>
            </w:r>
          </w:p>
        </w:tc>
      </w:tr>
      <w:tr w:rsidR="0011677C" w:rsidRPr="0005655F" w:rsidTr="00342D2D">
        <w:tc>
          <w:tcPr>
            <w:tcW w:w="2269" w:type="dxa"/>
            <w:vMerge/>
          </w:tcPr>
          <w:p w:rsidR="0011677C" w:rsidRDefault="0011677C" w:rsidP="0011677C">
            <w:pPr>
              <w:spacing w:line="360" w:lineRule="auto"/>
              <w:rPr>
                <w:rFonts w:ascii="Times New Roman" w:eastAsia="Times New Roman" w:hAnsi="Times New Roman" w:cs="Times New Roman"/>
                <w:b/>
                <w:bCs/>
                <w:color w:val="000000"/>
                <w:sz w:val="24"/>
                <w:szCs w:val="24"/>
                <w:lang w:val="ru-RU"/>
              </w:rPr>
            </w:pPr>
          </w:p>
        </w:tc>
        <w:tc>
          <w:tcPr>
            <w:tcW w:w="2409" w:type="dxa"/>
          </w:tcPr>
          <w:p w:rsidR="0011677C" w:rsidRDefault="0011677C" w:rsidP="0011677C">
            <w:pPr>
              <w:rPr>
                <w:rFonts w:ascii="Times New Roman" w:eastAsia="Times New Roman" w:hAnsi="Times New Roman" w:cs="Times New Roman"/>
                <w:bCs/>
                <w:color w:val="000000"/>
                <w:sz w:val="24"/>
                <w:szCs w:val="24"/>
                <w:lang w:val="ru-RU"/>
              </w:rPr>
            </w:pPr>
            <w:r w:rsidRPr="0011677C">
              <w:rPr>
                <w:rFonts w:ascii="Times New Roman" w:eastAsia="Times New Roman" w:hAnsi="Times New Roman" w:cs="Times New Roman"/>
                <w:bCs/>
                <w:color w:val="000000"/>
                <w:sz w:val="24"/>
                <w:szCs w:val="24"/>
                <w:lang w:val="ru-RU"/>
              </w:rPr>
              <w:t>Низкое качество и доступность статистических данных</w:t>
            </w:r>
          </w:p>
        </w:tc>
        <w:tc>
          <w:tcPr>
            <w:tcW w:w="1134" w:type="dxa"/>
          </w:tcPr>
          <w:p w:rsidR="0011677C" w:rsidRDefault="0011677C" w:rsidP="0011677C">
            <w:pPr>
              <w:spacing w:line="360" w:lineRule="auto"/>
              <w:ind w:left="-113"/>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 xml:space="preserve">Высокое </w:t>
            </w:r>
          </w:p>
        </w:tc>
        <w:tc>
          <w:tcPr>
            <w:tcW w:w="1418" w:type="dxa"/>
          </w:tcPr>
          <w:p w:rsidR="0011677C" w:rsidRDefault="0078529C" w:rsidP="0011677C">
            <w:pPr>
              <w:spacing w:line="360"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Высокая</w:t>
            </w:r>
          </w:p>
        </w:tc>
        <w:tc>
          <w:tcPr>
            <w:tcW w:w="2262" w:type="dxa"/>
          </w:tcPr>
          <w:p w:rsidR="0011677C" w:rsidRPr="0011677C" w:rsidRDefault="0011677C" w:rsidP="0011677C">
            <w:pPr>
              <w:rPr>
                <w:rFonts w:ascii="Times New Roman" w:eastAsia="Times New Roman" w:hAnsi="Times New Roman" w:cs="Times New Roman"/>
                <w:color w:val="000000"/>
                <w:sz w:val="24"/>
                <w:szCs w:val="24"/>
                <w:lang w:val="ru-RU"/>
              </w:rPr>
            </w:pPr>
            <w:r w:rsidRPr="0011677C">
              <w:rPr>
                <w:rFonts w:ascii="Times New Roman" w:eastAsia="Times New Roman" w:hAnsi="Times New Roman" w:cs="Times New Roman"/>
                <w:color w:val="000000"/>
                <w:sz w:val="24"/>
                <w:szCs w:val="24"/>
                <w:lang w:val="ru-RU"/>
              </w:rPr>
              <w:t>Поддержание регулярного взаимодействия с НБС</w:t>
            </w:r>
            <w:r>
              <w:rPr>
                <w:rFonts w:ascii="Times New Roman" w:eastAsia="Times New Roman" w:hAnsi="Times New Roman" w:cs="Times New Roman"/>
                <w:color w:val="000000"/>
                <w:sz w:val="24"/>
                <w:szCs w:val="24"/>
                <w:lang w:val="ru-RU"/>
              </w:rPr>
              <w:t xml:space="preserve"> </w:t>
            </w:r>
            <w:r w:rsidRPr="0011677C">
              <w:rPr>
                <w:rFonts w:ascii="Times New Roman" w:eastAsia="Times New Roman" w:hAnsi="Times New Roman" w:cs="Times New Roman"/>
                <w:color w:val="000000"/>
                <w:sz w:val="24"/>
                <w:szCs w:val="24"/>
                <w:lang w:val="ru-RU"/>
              </w:rPr>
              <w:t>для отладки и ускорения рабочих циклов.</w:t>
            </w:r>
          </w:p>
        </w:tc>
      </w:tr>
      <w:tr w:rsidR="00E12005" w:rsidTr="00342D2D">
        <w:tc>
          <w:tcPr>
            <w:tcW w:w="2269" w:type="dxa"/>
          </w:tcPr>
          <w:p w:rsidR="00E12005" w:rsidRDefault="00E12005" w:rsidP="00E12005">
            <w:pPr>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t>Организационные риски</w:t>
            </w:r>
          </w:p>
        </w:tc>
        <w:tc>
          <w:tcPr>
            <w:tcW w:w="2409" w:type="dxa"/>
          </w:tcPr>
          <w:p w:rsidR="00E12005" w:rsidRPr="00E12005" w:rsidRDefault="00E12005" w:rsidP="00E12005">
            <w:pPr>
              <w:rPr>
                <w:rFonts w:ascii="Times New Roman" w:eastAsia="Times New Roman" w:hAnsi="Times New Roman" w:cs="Times New Roman"/>
                <w:bCs/>
                <w:color w:val="000000"/>
                <w:sz w:val="24"/>
                <w:szCs w:val="24"/>
                <w:lang w:val="ru-RU"/>
              </w:rPr>
            </w:pPr>
            <w:r w:rsidRPr="00E12005">
              <w:rPr>
                <w:rFonts w:ascii="Times New Roman" w:eastAsia="Times New Roman" w:hAnsi="Times New Roman" w:cs="Times New Roman"/>
                <w:bCs/>
                <w:color w:val="000000"/>
                <w:sz w:val="24"/>
                <w:szCs w:val="24"/>
                <w:lang w:val="ru-RU"/>
              </w:rPr>
              <w:t>Мобильность квалифицированных человеческих ресурсов / недостаток институциональной памяти</w:t>
            </w:r>
          </w:p>
        </w:tc>
        <w:tc>
          <w:tcPr>
            <w:tcW w:w="1134" w:type="dxa"/>
          </w:tcPr>
          <w:p w:rsidR="00E12005" w:rsidRDefault="00E12005" w:rsidP="00E12005">
            <w:pP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Среднее</w:t>
            </w:r>
          </w:p>
        </w:tc>
        <w:tc>
          <w:tcPr>
            <w:tcW w:w="1418" w:type="dxa"/>
          </w:tcPr>
          <w:p w:rsidR="00E12005" w:rsidRDefault="00E12005" w:rsidP="00E12005">
            <w:pPr>
              <w:jc w:val="center"/>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4"/>
                <w:szCs w:val="24"/>
                <w:lang w:val="ru-RU"/>
              </w:rPr>
              <w:t>С</w:t>
            </w:r>
            <w:r w:rsidR="0078529C">
              <w:rPr>
                <w:rFonts w:ascii="Times New Roman" w:eastAsia="Times New Roman" w:hAnsi="Times New Roman" w:cs="Times New Roman"/>
                <w:b/>
                <w:bCs/>
                <w:color w:val="000000"/>
                <w:sz w:val="24"/>
                <w:szCs w:val="24"/>
                <w:lang w:val="ru-RU"/>
              </w:rPr>
              <w:t>редняя</w:t>
            </w:r>
          </w:p>
        </w:tc>
        <w:tc>
          <w:tcPr>
            <w:tcW w:w="2262" w:type="dxa"/>
          </w:tcPr>
          <w:p w:rsidR="00E12005" w:rsidRDefault="00E12005" w:rsidP="00E12005">
            <w:pPr>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Разработка программ по привлечению кадров.</w:t>
            </w:r>
          </w:p>
          <w:p w:rsidR="00E12005" w:rsidRDefault="00E12005" w:rsidP="00E12005">
            <w:pPr>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Разработка программ профессионального развития</w:t>
            </w:r>
          </w:p>
        </w:tc>
      </w:tr>
      <w:tr w:rsidR="000C5E4A" w:rsidTr="00342D2D">
        <w:tc>
          <w:tcPr>
            <w:tcW w:w="2269" w:type="dxa"/>
          </w:tcPr>
          <w:p w:rsidR="001D6373" w:rsidRDefault="001D6373" w:rsidP="003F6DA9">
            <w:pPr>
              <w:spacing w:line="360" w:lineRule="auto"/>
              <w:rPr>
                <w:rFonts w:ascii="Times New Roman" w:eastAsia="Times New Roman" w:hAnsi="Times New Roman" w:cs="Times New Roman"/>
                <w:b/>
                <w:bCs/>
                <w:color w:val="000000"/>
                <w:sz w:val="24"/>
                <w:szCs w:val="24"/>
                <w:lang w:val="ru-RU"/>
              </w:rPr>
            </w:pPr>
          </w:p>
        </w:tc>
        <w:tc>
          <w:tcPr>
            <w:tcW w:w="2409" w:type="dxa"/>
          </w:tcPr>
          <w:p w:rsidR="001D6373" w:rsidRDefault="001D6373" w:rsidP="003F6DA9">
            <w:pPr>
              <w:spacing w:line="360" w:lineRule="auto"/>
              <w:rPr>
                <w:rFonts w:ascii="Times New Roman" w:eastAsia="Times New Roman" w:hAnsi="Times New Roman" w:cs="Times New Roman"/>
                <w:b/>
                <w:bCs/>
                <w:color w:val="000000"/>
                <w:sz w:val="24"/>
                <w:szCs w:val="24"/>
                <w:lang w:val="ru-RU"/>
              </w:rPr>
            </w:pPr>
          </w:p>
        </w:tc>
        <w:tc>
          <w:tcPr>
            <w:tcW w:w="1134" w:type="dxa"/>
          </w:tcPr>
          <w:p w:rsidR="001D6373" w:rsidRDefault="001D6373" w:rsidP="003F6DA9">
            <w:pPr>
              <w:spacing w:line="360" w:lineRule="auto"/>
              <w:rPr>
                <w:rFonts w:ascii="Times New Roman" w:eastAsia="Times New Roman" w:hAnsi="Times New Roman" w:cs="Times New Roman"/>
                <w:b/>
                <w:bCs/>
                <w:color w:val="000000"/>
                <w:sz w:val="24"/>
                <w:szCs w:val="24"/>
                <w:lang w:val="ru-RU"/>
              </w:rPr>
            </w:pPr>
          </w:p>
        </w:tc>
        <w:tc>
          <w:tcPr>
            <w:tcW w:w="1418" w:type="dxa"/>
          </w:tcPr>
          <w:p w:rsidR="001D6373" w:rsidRDefault="001D6373" w:rsidP="003F6DA9">
            <w:pPr>
              <w:spacing w:line="360" w:lineRule="auto"/>
              <w:rPr>
                <w:rFonts w:ascii="Times New Roman" w:eastAsia="Times New Roman" w:hAnsi="Times New Roman" w:cs="Times New Roman"/>
                <w:b/>
                <w:bCs/>
                <w:color w:val="000000"/>
                <w:sz w:val="24"/>
                <w:szCs w:val="24"/>
                <w:lang w:val="ru-RU"/>
              </w:rPr>
            </w:pPr>
          </w:p>
        </w:tc>
        <w:tc>
          <w:tcPr>
            <w:tcW w:w="2262" w:type="dxa"/>
          </w:tcPr>
          <w:p w:rsidR="001D6373" w:rsidRDefault="001D6373" w:rsidP="003F6DA9">
            <w:pPr>
              <w:spacing w:line="360" w:lineRule="auto"/>
              <w:rPr>
                <w:rFonts w:ascii="Times New Roman" w:eastAsia="Times New Roman" w:hAnsi="Times New Roman" w:cs="Times New Roman"/>
                <w:b/>
                <w:bCs/>
                <w:color w:val="000000"/>
                <w:sz w:val="24"/>
                <w:szCs w:val="24"/>
                <w:lang w:val="ru-RU"/>
              </w:rPr>
            </w:pPr>
          </w:p>
        </w:tc>
      </w:tr>
      <w:tr w:rsidR="00250E32" w:rsidRPr="0005655F" w:rsidTr="00342D2D">
        <w:tc>
          <w:tcPr>
            <w:tcW w:w="2269" w:type="dxa"/>
            <w:vMerge w:val="restart"/>
          </w:tcPr>
          <w:p w:rsidR="00250E32" w:rsidRDefault="00250E32" w:rsidP="007A2879">
            <w:pPr>
              <w:spacing w:line="360" w:lineRule="auto"/>
              <w:rPr>
                <w:rFonts w:ascii="Times New Roman" w:eastAsia="Times New Roman" w:hAnsi="Times New Roman" w:cs="Times New Roman"/>
                <w:b/>
                <w:bCs/>
                <w:color w:val="000000"/>
                <w:sz w:val="24"/>
                <w:szCs w:val="24"/>
                <w:lang w:val="ru-RU"/>
              </w:rPr>
            </w:pPr>
            <w:r>
              <w:rPr>
                <w:rFonts w:ascii="Times New Roman" w:eastAsia="Times New Roman" w:hAnsi="Times New Roman" w:cs="Times New Roman"/>
                <w:b/>
                <w:bCs/>
                <w:color w:val="000000"/>
                <w:sz w:val="24"/>
                <w:szCs w:val="24"/>
                <w:lang w:val="ru-RU"/>
              </w:rPr>
              <w:lastRenderedPageBreak/>
              <w:t>Внешние риски</w:t>
            </w:r>
          </w:p>
        </w:tc>
        <w:tc>
          <w:tcPr>
            <w:tcW w:w="2409" w:type="dxa"/>
          </w:tcPr>
          <w:p w:rsidR="00250E32" w:rsidRPr="00E12005" w:rsidRDefault="00250E32" w:rsidP="007A2879">
            <w:pPr>
              <w:rPr>
                <w:rFonts w:ascii="Times New Roman" w:eastAsia="Times New Roman" w:hAnsi="Times New Roman" w:cs="Times New Roman"/>
                <w:bCs/>
                <w:color w:val="000000"/>
                <w:sz w:val="24"/>
                <w:szCs w:val="24"/>
                <w:lang w:val="ru-RU"/>
              </w:rPr>
            </w:pPr>
            <w:r w:rsidRPr="00E12005">
              <w:rPr>
                <w:rFonts w:ascii="Times New Roman" w:eastAsia="Times New Roman" w:hAnsi="Times New Roman" w:cs="Times New Roman"/>
                <w:bCs/>
                <w:color w:val="000000"/>
                <w:sz w:val="24"/>
                <w:szCs w:val="24"/>
                <w:lang w:val="ru-RU"/>
              </w:rPr>
              <w:t>Экономическая нестабильность и задержки в проведении структурных реформ могут повлиять на эффективную реализацию Программы.</w:t>
            </w:r>
          </w:p>
        </w:tc>
        <w:tc>
          <w:tcPr>
            <w:tcW w:w="1134" w:type="dxa"/>
          </w:tcPr>
          <w:p w:rsidR="00250E32" w:rsidRDefault="00250E32" w:rsidP="007A2879">
            <w:r w:rsidRPr="00254C91">
              <w:rPr>
                <w:rFonts w:ascii="Times New Roman" w:eastAsia="Times New Roman" w:hAnsi="Times New Roman" w:cs="Times New Roman"/>
                <w:b/>
                <w:bCs/>
                <w:color w:val="000000"/>
                <w:szCs w:val="24"/>
                <w:lang w:val="ru-RU"/>
              </w:rPr>
              <w:t>Высокое</w:t>
            </w:r>
          </w:p>
        </w:tc>
        <w:tc>
          <w:tcPr>
            <w:tcW w:w="1418" w:type="dxa"/>
          </w:tcPr>
          <w:p w:rsidR="00250E32" w:rsidRDefault="0078529C" w:rsidP="007A2879">
            <w:r>
              <w:rPr>
                <w:rFonts w:ascii="Times New Roman" w:eastAsia="Times New Roman" w:hAnsi="Times New Roman" w:cs="Times New Roman"/>
                <w:b/>
                <w:bCs/>
                <w:color w:val="000000"/>
                <w:szCs w:val="24"/>
                <w:lang w:val="ru-RU"/>
              </w:rPr>
              <w:t>Высокая</w:t>
            </w:r>
          </w:p>
        </w:tc>
        <w:tc>
          <w:tcPr>
            <w:tcW w:w="2262" w:type="dxa"/>
          </w:tcPr>
          <w:p w:rsidR="00250E32" w:rsidRPr="007A2879" w:rsidRDefault="00250E32" w:rsidP="007A2879">
            <w:pPr>
              <w:rPr>
                <w:rFonts w:ascii="Times New Roman" w:eastAsia="Times New Roman" w:hAnsi="Times New Roman" w:cs="Times New Roman"/>
                <w:bCs/>
                <w:color w:val="000000"/>
                <w:sz w:val="24"/>
                <w:szCs w:val="24"/>
                <w:lang w:val="ru-RU"/>
              </w:rPr>
            </w:pPr>
            <w:r w:rsidRPr="007A2879">
              <w:rPr>
                <w:rFonts w:ascii="Times New Roman" w:eastAsia="Times New Roman" w:hAnsi="Times New Roman" w:cs="Times New Roman"/>
                <w:bCs/>
                <w:color w:val="000000"/>
                <w:sz w:val="24"/>
                <w:szCs w:val="24"/>
                <w:lang w:val="ru-RU"/>
              </w:rPr>
              <w:t>Содействие и упрощение диалога между государственными учреждениями, деловой средой и гражданским обществом для обеспечения эффективного сотрудничества и координации усилий.</w:t>
            </w:r>
          </w:p>
        </w:tc>
      </w:tr>
      <w:tr w:rsidR="00250E32" w:rsidRPr="0005655F" w:rsidTr="00342D2D">
        <w:tc>
          <w:tcPr>
            <w:tcW w:w="2269" w:type="dxa"/>
            <w:vMerge/>
          </w:tcPr>
          <w:p w:rsidR="00250E32" w:rsidRDefault="00250E32" w:rsidP="007A2879">
            <w:pPr>
              <w:spacing w:line="360" w:lineRule="auto"/>
              <w:rPr>
                <w:rFonts w:ascii="Times New Roman" w:eastAsia="Times New Roman" w:hAnsi="Times New Roman" w:cs="Times New Roman"/>
                <w:b/>
                <w:bCs/>
                <w:color w:val="000000"/>
                <w:sz w:val="24"/>
                <w:szCs w:val="24"/>
                <w:lang w:val="ru-RU"/>
              </w:rPr>
            </w:pPr>
          </w:p>
        </w:tc>
        <w:tc>
          <w:tcPr>
            <w:tcW w:w="2409" w:type="dxa"/>
          </w:tcPr>
          <w:p w:rsidR="00250E32" w:rsidRPr="007A2879" w:rsidRDefault="00250E32" w:rsidP="007A2879">
            <w:pPr>
              <w:rPr>
                <w:rFonts w:ascii="Times New Roman" w:eastAsia="Times New Roman" w:hAnsi="Times New Roman" w:cs="Times New Roman"/>
                <w:bCs/>
                <w:color w:val="000000"/>
                <w:sz w:val="24"/>
                <w:szCs w:val="24"/>
                <w:lang w:val="ru-RU"/>
              </w:rPr>
            </w:pPr>
            <w:r w:rsidRPr="007A2879">
              <w:rPr>
                <w:rFonts w:ascii="Times New Roman" w:eastAsia="Times New Roman" w:hAnsi="Times New Roman" w:cs="Times New Roman"/>
                <w:bCs/>
                <w:color w:val="000000"/>
                <w:sz w:val="24"/>
                <w:szCs w:val="24"/>
                <w:lang w:val="ru-RU"/>
              </w:rPr>
              <w:t>Влияние геополитических конфликтов на экономическое развитие</w:t>
            </w:r>
          </w:p>
        </w:tc>
        <w:tc>
          <w:tcPr>
            <w:tcW w:w="1134" w:type="dxa"/>
          </w:tcPr>
          <w:p w:rsidR="00250E32" w:rsidRDefault="00250E32" w:rsidP="007A2879">
            <w:r w:rsidRPr="00254C91">
              <w:rPr>
                <w:rFonts w:ascii="Times New Roman" w:eastAsia="Times New Roman" w:hAnsi="Times New Roman" w:cs="Times New Roman"/>
                <w:b/>
                <w:bCs/>
                <w:color w:val="000000"/>
                <w:szCs w:val="24"/>
                <w:lang w:val="ru-RU"/>
              </w:rPr>
              <w:t>Высокое</w:t>
            </w:r>
          </w:p>
        </w:tc>
        <w:tc>
          <w:tcPr>
            <w:tcW w:w="1418" w:type="dxa"/>
          </w:tcPr>
          <w:p w:rsidR="00250E32" w:rsidRDefault="00250E32" w:rsidP="0078529C">
            <w:r w:rsidRPr="00254C91">
              <w:rPr>
                <w:rFonts w:ascii="Times New Roman" w:eastAsia="Times New Roman" w:hAnsi="Times New Roman" w:cs="Times New Roman"/>
                <w:b/>
                <w:bCs/>
                <w:color w:val="000000"/>
                <w:szCs w:val="24"/>
                <w:lang w:val="ru-RU"/>
              </w:rPr>
              <w:t>Высок</w:t>
            </w:r>
            <w:r w:rsidR="0078529C">
              <w:rPr>
                <w:rFonts w:ascii="Times New Roman" w:eastAsia="Times New Roman" w:hAnsi="Times New Roman" w:cs="Times New Roman"/>
                <w:b/>
                <w:bCs/>
                <w:color w:val="000000"/>
                <w:szCs w:val="24"/>
                <w:lang w:val="ru-RU"/>
              </w:rPr>
              <w:t xml:space="preserve">ая </w:t>
            </w:r>
          </w:p>
        </w:tc>
        <w:tc>
          <w:tcPr>
            <w:tcW w:w="2262" w:type="dxa"/>
          </w:tcPr>
          <w:p w:rsidR="00250E32" w:rsidRPr="007A2879" w:rsidRDefault="00250E32" w:rsidP="007A2879">
            <w:pPr>
              <w:rPr>
                <w:rFonts w:ascii="Times New Roman" w:eastAsia="Times New Roman" w:hAnsi="Times New Roman" w:cs="Times New Roman"/>
                <w:bCs/>
                <w:color w:val="000000"/>
                <w:sz w:val="24"/>
                <w:szCs w:val="24"/>
                <w:lang w:val="ru-RU"/>
              </w:rPr>
            </w:pPr>
            <w:r w:rsidRPr="007A2879">
              <w:rPr>
                <w:rFonts w:ascii="Times New Roman" w:eastAsia="Times New Roman" w:hAnsi="Times New Roman" w:cs="Times New Roman"/>
                <w:bCs/>
                <w:color w:val="000000"/>
                <w:sz w:val="24"/>
                <w:szCs w:val="24"/>
                <w:lang w:val="ru-RU"/>
              </w:rPr>
              <w:t xml:space="preserve">Обеспечение того, чтобы </w:t>
            </w:r>
            <w:r>
              <w:rPr>
                <w:rFonts w:ascii="Times New Roman" w:eastAsia="Times New Roman" w:hAnsi="Times New Roman" w:cs="Times New Roman"/>
                <w:bCs/>
                <w:color w:val="000000"/>
                <w:sz w:val="24"/>
                <w:szCs w:val="24"/>
                <w:lang w:val="ru-RU"/>
              </w:rPr>
              <w:t xml:space="preserve">РОП </w:t>
            </w:r>
            <w:r w:rsidRPr="007A2879">
              <w:rPr>
                <w:rFonts w:ascii="Times New Roman" w:eastAsia="Times New Roman" w:hAnsi="Times New Roman" w:cs="Times New Roman"/>
                <w:bCs/>
                <w:color w:val="000000"/>
                <w:sz w:val="24"/>
                <w:szCs w:val="24"/>
                <w:lang w:val="ru-RU"/>
              </w:rPr>
              <w:t>представляла собой документ, находящийся под постоянным контролем и, при необходимости, подлежащий пересмотру, включая обеспечение эффективного управления кризисными ситуациями.</w:t>
            </w:r>
          </w:p>
        </w:tc>
      </w:tr>
      <w:tr w:rsidR="00250E32" w:rsidRPr="0005655F" w:rsidTr="00342D2D">
        <w:tc>
          <w:tcPr>
            <w:tcW w:w="2269" w:type="dxa"/>
            <w:vMerge/>
          </w:tcPr>
          <w:p w:rsidR="00250E32" w:rsidRDefault="00250E32" w:rsidP="003F6DA9">
            <w:pPr>
              <w:spacing w:line="360" w:lineRule="auto"/>
              <w:rPr>
                <w:rFonts w:ascii="Times New Roman" w:eastAsia="Times New Roman" w:hAnsi="Times New Roman" w:cs="Times New Roman"/>
                <w:b/>
                <w:bCs/>
                <w:color w:val="000000"/>
                <w:sz w:val="24"/>
                <w:szCs w:val="24"/>
                <w:lang w:val="ru-RU"/>
              </w:rPr>
            </w:pPr>
          </w:p>
        </w:tc>
        <w:tc>
          <w:tcPr>
            <w:tcW w:w="2409" w:type="dxa"/>
          </w:tcPr>
          <w:p w:rsidR="00250E32" w:rsidRPr="006B6751" w:rsidRDefault="00250E32" w:rsidP="006B6751">
            <w:pPr>
              <w:rPr>
                <w:rFonts w:ascii="Times New Roman" w:eastAsia="Times New Roman" w:hAnsi="Times New Roman" w:cs="Times New Roman"/>
                <w:bCs/>
                <w:color w:val="000000"/>
                <w:sz w:val="24"/>
                <w:szCs w:val="24"/>
                <w:lang w:val="ru-RU"/>
              </w:rPr>
            </w:pPr>
            <w:r w:rsidRPr="006B6751">
              <w:rPr>
                <w:rFonts w:ascii="Times New Roman" w:eastAsia="Times New Roman" w:hAnsi="Times New Roman" w:cs="Times New Roman"/>
                <w:bCs/>
                <w:color w:val="000000"/>
                <w:sz w:val="24"/>
                <w:szCs w:val="24"/>
                <w:lang w:val="ru-RU"/>
              </w:rPr>
              <w:t>Изменение климата и стихийные бедствия</w:t>
            </w:r>
          </w:p>
        </w:tc>
        <w:tc>
          <w:tcPr>
            <w:tcW w:w="1134" w:type="dxa"/>
          </w:tcPr>
          <w:p w:rsidR="00250E32" w:rsidRDefault="00250E32" w:rsidP="003F6DA9">
            <w:pPr>
              <w:spacing w:line="360" w:lineRule="auto"/>
              <w:rPr>
                <w:rFonts w:ascii="Times New Roman" w:eastAsia="Times New Roman" w:hAnsi="Times New Roman" w:cs="Times New Roman"/>
                <w:b/>
                <w:bCs/>
                <w:color w:val="000000"/>
                <w:sz w:val="24"/>
                <w:szCs w:val="24"/>
                <w:lang w:val="ru-RU"/>
              </w:rPr>
            </w:pPr>
            <w:r w:rsidRPr="007625BF">
              <w:rPr>
                <w:rFonts w:ascii="Times New Roman" w:eastAsia="Times New Roman" w:hAnsi="Times New Roman" w:cs="Times New Roman"/>
                <w:b/>
                <w:bCs/>
                <w:color w:val="000000"/>
                <w:sz w:val="24"/>
                <w:szCs w:val="24"/>
                <w:lang w:val="ru-RU"/>
              </w:rPr>
              <w:t>Среднее</w:t>
            </w:r>
          </w:p>
        </w:tc>
        <w:tc>
          <w:tcPr>
            <w:tcW w:w="1418" w:type="dxa"/>
          </w:tcPr>
          <w:p w:rsidR="00250E32" w:rsidRDefault="00250E32" w:rsidP="003F6DA9">
            <w:pPr>
              <w:spacing w:line="360" w:lineRule="auto"/>
              <w:rPr>
                <w:rFonts w:ascii="Times New Roman" w:eastAsia="Times New Roman" w:hAnsi="Times New Roman" w:cs="Times New Roman"/>
                <w:b/>
                <w:bCs/>
                <w:color w:val="000000"/>
                <w:sz w:val="24"/>
                <w:szCs w:val="24"/>
                <w:lang w:val="ru-RU"/>
              </w:rPr>
            </w:pPr>
            <w:r w:rsidRPr="007625BF">
              <w:rPr>
                <w:rFonts w:ascii="Times New Roman" w:eastAsia="Times New Roman" w:hAnsi="Times New Roman" w:cs="Times New Roman"/>
                <w:b/>
                <w:bCs/>
                <w:color w:val="000000"/>
                <w:sz w:val="24"/>
                <w:szCs w:val="24"/>
                <w:lang w:val="ru-RU"/>
              </w:rPr>
              <w:t>Выс</w:t>
            </w:r>
            <w:r w:rsidR="0078529C">
              <w:rPr>
                <w:rFonts w:ascii="Times New Roman" w:eastAsia="Times New Roman" w:hAnsi="Times New Roman" w:cs="Times New Roman"/>
                <w:b/>
                <w:bCs/>
                <w:color w:val="000000"/>
                <w:sz w:val="24"/>
                <w:szCs w:val="24"/>
                <w:lang w:val="ru-RU"/>
              </w:rPr>
              <w:t>окая</w:t>
            </w:r>
          </w:p>
        </w:tc>
        <w:tc>
          <w:tcPr>
            <w:tcW w:w="2262" w:type="dxa"/>
          </w:tcPr>
          <w:p w:rsidR="00250E32" w:rsidRPr="007625BF" w:rsidRDefault="00250E32" w:rsidP="007625BF">
            <w:pPr>
              <w:rPr>
                <w:rFonts w:ascii="Times New Roman" w:eastAsia="Times New Roman" w:hAnsi="Times New Roman" w:cs="Times New Roman"/>
                <w:bCs/>
                <w:color w:val="000000"/>
                <w:sz w:val="24"/>
                <w:szCs w:val="24"/>
                <w:lang w:val="ru-RU"/>
              </w:rPr>
            </w:pPr>
            <w:r w:rsidRPr="007625BF">
              <w:rPr>
                <w:rFonts w:ascii="Times New Roman" w:eastAsia="Times New Roman" w:hAnsi="Times New Roman" w:cs="Times New Roman"/>
                <w:bCs/>
                <w:color w:val="000000"/>
                <w:sz w:val="24"/>
                <w:szCs w:val="24"/>
                <w:lang w:val="ru-RU"/>
              </w:rPr>
              <w:t>Корректировка государственной политики для повышения устойчивости к изменению климата</w:t>
            </w:r>
          </w:p>
        </w:tc>
      </w:tr>
      <w:tr w:rsidR="00250E32" w:rsidRPr="0005655F" w:rsidTr="00342D2D">
        <w:tc>
          <w:tcPr>
            <w:tcW w:w="2269" w:type="dxa"/>
            <w:vMerge/>
          </w:tcPr>
          <w:p w:rsidR="00250E32" w:rsidRDefault="00250E32" w:rsidP="00250E32">
            <w:pPr>
              <w:spacing w:line="360" w:lineRule="auto"/>
              <w:rPr>
                <w:rFonts w:ascii="Times New Roman" w:eastAsia="Times New Roman" w:hAnsi="Times New Roman" w:cs="Times New Roman"/>
                <w:b/>
                <w:bCs/>
                <w:color w:val="000000"/>
                <w:sz w:val="24"/>
                <w:szCs w:val="24"/>
                <w:lang w:val="ru-RU"/>
              </w:rPr>
            </w:pPr>
          </w:p>
        </w:tc>
        <w:tc>
          <w:tcPr>
            <w:tcW w:w="2409" w:type="dxa"/>
          </w:tcPr>
          <w:p w:rsidR="00250E32" w:rsidRPr="00250E32" w:rsidRDefault="00250E32" w:rsidP="00250E32">
            <w:pPr>
              <w:rPr>
                <w:rFonts w:ascii="Times New Roman" w:eastAsia="Times New Roman" w:hAnsi="Times New Roman" w:cs="Times New Roman"/>
                <w:bCs/>
                <w:color w:val="000000"/>
                <w:sz w:val="24"/>
                <w:szCs w:val="24"/>
                <w:lang w:val="ru-RU"/>
              </w:rPr>
            </w:pPr>
            <w:r w:rsidRPr="00250E32">
              <w:rPr>
                <w:rFonts w:ascii="Times New Roman" w:eastAsia="Times New Roman" w:hAnsi="Times New Roman" w:cs="Times New Roman"/>
                <w:bCs/>
                <w:color w:val="000000"/>
                <w:sz w:val="24"/>
                <w:szCs w:val="24"/>
                <w:lang w:val="ru-RU"/>
              </w:rPr>
              <w:t>Нехватка средс</w:t>
            </w:r>
            <w:r>
              <w:rPr>
                <w:rFonts w:ascii="Times New Roman" w:eastAsia="Times New Roman" w:hAnsi="Times New Roman" w:cs="Times New Roman"/>
                <w:bCs/>
                <w:color w:val="000000"/>
                <w:sz w:val="24"/>
                <w:szCs w:val="24"/>
                <w:lang w:val="ru-RU"/>
              </w:rPr>
              <w:t>тв в госбюджете для реализации П</w:t>
            </w:r>
            <w:r w:rsidRPr="00250E32">
              <w:rPr>
                <w:rFonts w:ascii="Times New Roman" w:eastAsia="Times New Roman" w:hAnsi="Times New Roman" w:cs="Times New Roman"/>
                <w:bCs/>
                <w:color w:val="000000"/>
                <w:sz w:val="24"/>
                <w:szCs w:val="24"/>
                <w:lang w:val="ru-RU"/>
              </w:rPr>
              <w:t>рограммы из-за резких скачков цен на энергоресурсы, инфляции и колебаний валютного курса.</w:t>
            </w:r>
          </w:p>
        </w:tc>
        <w:tc>
          <w:tcPr>
            <w:tcW w:w="1134" w:type="dxa"/>
          </w:tcPr>
          <w:p w:rsidR="00250E32" w:rsidRDefault="00250E32" w:rsidP="00250E32">
            <w:r w:rsidRPr="00254C91">
              <w:rPr>
                <w:rFonts w:ascii="Times New Roman" w:eastAsia="Times New Roman" w:hAnsi="Times New Roman" w:cs="Times New Roman"/>
                <w:b/>
                <w:bCs/>
                <w:color w:val="000000"/>
                <w:szCs w:val="24"/>
                <w:lang w:val="ru-RU"/>
              </w:rPr>
              <w:t>Высокое</w:t>
            </w:r>
          </w:p>
        </w:tc>
        <w:tc>
          <w:tcPr>
            <w:tcW w:w="1418" w:type="dxa"/>
          </w:tcPr>
          <w:p w:rsidR="00250E32" w:rsidRDefault="0078529C" w:rsidP="00250E32">
            <w:r>
              <w:rPr>
                <w:rFonts w:ascii="Times New Roman" w:eastAsia="Times New Roman" w:hAnsi="Times New Roman" w:cs="Times New Roman"/>
                <w:b/>
                <w:bCs/>
                <w:color w:val="000000"/>
                <w:szCs w:val="24"/>
                <w:lang w:val="ru-RU"/>
              </w:rPr>
              <w:t xml:space="preserve">Высокая </w:t>
            </w:r>
          </w:p>
        </w:tc>
        <w:tc>
          <w:tcPr>
            <w:tcW w:w="2262" w:type="dxa"/>
          </w:tcPr>
          <w:p w:rsidR="00250E32" w:rsidRPr="00250E32" w:rsidRDefault="00250E32" w:rsidP="00250E32">
            <w:pPr>
              <w:rPr>
                <w:rFonts w:ascii="Times New Roman" w:eastAsia="Times New Roman" w:hAnsi="Times New Roman" w:cs="Times New Roman"/>
                <w:b/>
                <w:bCs/>
                <w:color w:val="000000"/>
                <w:sz w:val="24"/>
                <w:szCs w:val="24"/>
                <w:lang w:val="ru-RU"/>
              </w:rPr>
            </w:pPr>
            <w:r w:rsidRPr="00250E32">
              <w:rPr>
                <w:rFonts w:ascii="Times New Roman" w:eastAsia="Times New Roman" w:hAnsi="Times New Roman" w:cs="Times New Roman"/>
                <w:bCs/>
                <w:color w:val="000000"/>
                <w:sz w:val="24"/>
                <w:szCs w:val="24"/>
                <w:lang w:val="ru-RU"/>
              </w:rPr>
              <w:t>Привлечение иностранных инвестиций для финансирования инфраструктурных проектов, предусмотренных программой.</w:t>
            </w:r>
          </w:p>
        </w:tc>
      </w:tr>
    </w:tbl>
    <w:p w:rsidR="00E64644" w:rsidRPr="00935CE2" w:rsidRDefault="00E64644" w:rsidP="008D1CF1">
      <w:pPr>
        <w:shd w:val="clear" w:color="auto" w:fill="FFFFFF"/>
        <w:spacing w:line="360" w:lineRule="auto"/>
        <w:rPr>
          <w:rFonts w:ascii="Times New Roman" w:eastAsia="Times New Roman" w:hAnsi="Times New Roman" w:cs="Times New Roman"/>
          <w:sz w:val="24"/>
          <w:szCs w:val="24"/>
          <w:lang w:val="ru-RU"/>
        </w:rPr>
      </w:pPr>
    </w:p>
    <w:p w:rsidR="008D1CF1" w:rsidRDefault="008D1CF1" w:rsidP="008D1CF1">
      <w:pPr>
        <w:shd w:val="clear" w:color="auto" w:fill="FFFFFF"/>
        <w:spacing w:before="240" w:after="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VIII.  ОТВЕТСТВЕННЫЕ СТОРОНЫ</w:t>
      </w:r>
      <w:r w:rsidRPr="00935CE2">
        <w:rPr>
          <w:rFonts w:ascii="Times New Roman" w:eastAsia="Times New Roman" w:hAnsi="Times New Roman" w:cs="Times New Roman"/>
          <w:b/>
          <w:bCs/>
          <w:color w:val="2F2F2F"/>
          <w:sz w:val="24"/>
          <w:szCs w:val="24"/>
          <w:lang w:val="ru-RU"/>
        </w:rPr>
        <w:t xml:space="preserve"> </w:t>
      </w:r>
      <w:bookmarkStart w:id="1" w:name="_GoBack"/>
      <w:bookmarkEnd w:id="1"/>
    </w:p>
    <w:p w:rsidR="00D46DAD" w:rsidRPr="00D46DAD" w:rsidRDefault="00D46DAD" w:rsidP="00342D2D">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D46DAD">
        <w:rPr>
          <w:rFonts w:ascii="Times New Roman" w:eastAsia="Times New Roman" w:hAnsi="Times New Roman" w:cs="Times New Roman"/>
          <w:bCs/>
          <w:color w:val="2F2F2F"/>
          <w:sz w:val="24"/>
          <w:szCs w:val="24"/>
          <w:lang w:val="ru-RU"/>
        </w:rPr>
        <w:t xml:space="preserve">Институциональная структура для реализации Региональной операционной программы Гагаузии на 2026-2028 годы формируется Национальным советом по </w:t>
      </w:r>
      <w:r w:rsidRPr="00D46DAD">
        <w:rPr>
          <w:rFonts w:ascii="Times New Roman" w:eastAsia="Times New Roman" w:hAnsi="Times New Roman" w:cs="Times New Roman"/>
          <w:bCs/>
          <w:color w:val="2F2F2F"/>
          <w:sz w:val="24"/>
          <w:szCs w:val="24"/>
          <w:lang w:val="ru-RU"/>
        </w:rPr>
        <w:lastRenderedPageBreak/>
        <w:t xml:space="preserve">координации регионального и местного развития, Министерством инфраструктуры и регионального развития, Советом по региональному развитию </w:t>
      </w:r>
      <w:r w:rsidR="0066590E">
        <w:rPr>
          <w:rFonts w:ascii="Times New Roman" w:eastAsia="Times New Roman" w:hAnsi="Times New Roman" w:cs="Times New Roman"/>
          <w:bCs/>
          <w:color w:val="2F2F2F"/>
          <w:sz w:val="24"/>
          <w:szCs w:val="24"/>
          <w:lang w:val="ru-RU"/>
        </w:rPr>
        <w:t xml:space="preserve">АТО Гагаузия </w:t>
      </w:r>
      <w:r w:rsidRPr="00D46DAD">
        <w:rPr>
          <w:rFonts w:ascii="Times New Roman" w:eastAsia="Times New Roman" w:hAnsi="Times New Roman" w:cs="Times New Roman"/>
          <w:bCs/>
          <w:color w:val="2F2F2F"/>
          <w:sz w:val="24"/>
          <w:szCs w:val="24"/>
          <w:lang w:val="ru-RU"/>
        </w:rPr>
        <w:t xml:space="preserve">и Агентством </w:t>
      </w:r>
      <w:r w:rsidR="00342D2D">
        <w:rPr>
          <w:rFonts w:ascii="Times New Roman" w:eastAsia="Times New Roman" w:hAnsi="Times New Roman" w:cs="Times New Roman"/>
          <w:bCs/>
          <w:color w:val="2F2F2F"/>
          <w:sz w:val="24"/>
          <w:szCs w:val="24"/>
          <w:lang w:val="ru-RU"/>
        </w:rPr>
        <w:t>Р</w:t>
      </w:r>
      <w:r w:rsidRPr="00D46DAD">
        <w:rPr>
          <w:rFonts w:ascii="Times New Roman" w:eastAsia="Times New Roman" w:hAnsi="Times New Roman" w:cs="Times New Roman"/>
          <w:bCs/>
          <w:color w:val="2F2F2F"/>
          <w:sz w:val="24"/>
          <w:szCs w:val="24"/>
          <w:lang w:val="ru-RU"/>
        </w:rPr>
        <w:t xml:space="preserve">егионального </w:t>
      </w:r>
      <w:r w:rsidR="00342D2D">
        <w:rPr>
          <w:rFonts w:ascii="Times New Roman" w:eastAsia="Times New Roman" w:hAnsi="Times New Roman" w:cs="Times New Roman"/>
          <w:bCs/>
          <w:color w:val="2F2F2F"/>
          <w:sz w:val="24"/>
          <w:szCs w:val="24"/>
          <w:lang w:val="ru-RU"/>
        </w:rPr>
        <w:t>Р</w:t>
      </w:r>
      <w:r w:rsidRPr="00D46DAD">
        <w:rPr>
          <w:rFonts w:ascii="Times New Roman" w:eastAsia="Times New Roman" w:hAnsi="Times New Roman" w:cs="Times New Roman"/>
          <w:bCs/>
          <w:color w:val="2F2F2F"/>
          <w:sz w:val="24"/>
          <w:szCs w:val="24"/>
          <w:lang w:val="ru-RU"/>
        </w:rPr>
        <w:t>азвития Гагаузии.</w:t>
      </w:r>
    </w:p>
    <w:p w:rsidR="00D46DAD" w:rsidRPr="00D46DAD" w:rsidRDefault="0066590E" w:rsidP="00342D2D">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66590E">
        <w:rPr>
          <w:rFonts w:ascii="Times New Roman" w:hAnsi="Times New Roman" w:cs="Times New Roman"/>
          <w:b/>
          <w:color w:val="000000" w:themeColor="text1"/>
          <w:spacing w:val="-1"/>
          <w:sz w:val="24"/>
          <w:lang w:val="ru-RU"/>
        </w:rPr>
        <w:t>Национальный</w:t>
      </w:r>
      <w:r w:rsidRPr="0066590E">
        <w:rPr>
          <w:rFonts w:ascii="Times New Roman" w:hAnsi="Times New Roman" w:cs="Times New Roman"/>
          <w:b/>
          <w:color w:val="000000" w:themeColor="text1"/>
          <w:sz w:val="24"/>
          <w:lang w:val="ru-RU"/>
        </w:rPr>
        <w:t xml:space="preserve"> </w:t>
      </w:r>
      <w:r w:rsidRPr="0066590E">
        <w:rPr>
          <w:rFonts w:ascii="Times New Roman" w:hAnsi="Times New Roman" w:cs="Times New Roman"/>
          <w:b/>
          <w:color w:val="000000" w:themeColor="text1"/>
          <w:spacing w:val="-1"/>
          <w:sz w:val="24"/>
          <w:lang w:val="ru-RU"/>
        </w:rPr>
        <w:t>координационный</w:t>
      </w:r>
      <w:r w:rsidRPr="0066590E">
        <w:rPr>
          <w:rFonts w:ascii="Times New Roman" w:hAnsi="Times New Roman" w:cs="Times New Roman"/>
          <w:b/>
          <w:color w:val="000000" w:themeColor="text1"/>
          <w:sz w:val="24"/>
          <w:lang w:val="ru-RU"/>
        </w:rPr>
        <w:t xml:space="preserve"> </w:t>
      </w:r>
      <w:r w:rsidRPr="0066590E">
        <w:rPr>
          <w:rFonts w:ascii="Times New Roman" w:hAnsi="Times New Roman" w:cs="Times New Roman"/>
          <w:b/>
          <w:color w:val="000000" w:themeColor="text1"/>
          <w:spacing w:val="-1"/>
          <w:sz w:val="24"/>
          <w:lang w:val="ru-RU"/>
        </w:rPr>
        <w:t>совет</w:t>
      </w:r>
      <w:r w:rsidRPr="0066590E">
        <w:rPr>
          <w:rFonts w:ascii="Times New Roman" w:hAnsi="Times New Roman" w:cs="Times New Roman"/>
          <w:b/>
          <w:color w:val="000000" w:themeColor="text1"/>
          <w:spacing w:val="1"/>
          <w:sz w:val="24"/>
          <w:lang w:val="ru-RU"/>
        </w:rPr>
        <w:t xml:space="preserve"> </w:t>
      </w:r>
      <w:r w:rsidRPr="0066590E">
        <w:rPr>
          <w:rFonts w:ascii="Times New Roman" w:hAnsi="Times New Roman" w:cs="Times New Roman"/>
          <w:b/>
          <w:color w:val="000000" w:themeColor="text1"/>
          <w:spacing w:val="-1"/>
          <w:sz w:val="24"/>
          <w:lang w:val="ru-RU"/>
        </w:rPr>
        <w:t>по</w:t>
      </w:r>
      <w:r w:rsidRPr="0066590E">
        <w:rPr>
          <w:rFonts w:ascii="Times New Roman" w:hAnsi="Times New Roman" w:cs="Times New Roman"/>
          <w:b/>
          <w:color w:val="000000" w:themeColor="text1"/>
          <w:spacing w:val="1"/>
          <w:sz w:val="24"/>
          <w:lang w:val="ru-RU"/>
        </w:rPr>
        <w:t xml:space="preserve"> </w:t>
      </w:r>
      <w:r w:rsidRPr="0066590E">
        <w:rPr>
          <w:rFonts w:ascii="Times New Roman" w:hAnsi="Times New Roman" w:cs="Times New Roman"/>
          <w:b/>
          <w:color w:val="000000" w:themeColor="text1"/>
          <w:spacing w:val="-1"/>
          <w:sz w:val="24"/>
          <w:lang w:val="ru-RU"/>
        </w:rPr>
        <w:t>региональному</w:t>
      </w:r>
      <w:r w:rsidRPr="0066590E">
        <w:rPr>
          <w:rFonts w:ascii="Times New Roman" w:hAnsi="Times New Roman" w:cs="Times New Roman"/>
          <w:b/>
          <w:color w:val="000000" w:themeColor="text1"/>
          <w:sz w:val="24"/>
          <w:lang w:val="ru-RU"/>
        </w:rPr>
        <w:t xml:space="preserve"> и местному </w:t>
      </w:r>
      <w:r w:rsidRPr="0066590E">
        <w:rPr>
          <w:rFonts w:ascii="Times New Roman" w:hAnsi="Times New Roman" w:cs="Times New Roman"/>
          <w:b/>
          <w:color w:val="000000" w:themeColor="text1"/>
          <w:spacing w:val="-1"/>
          <w:sz w:val="24"/>
          <w:lang w:val="ru-RU"/>
        </w:rPr>
        <w:t>развитию</w:t>
      </w:r>
      <w:r w:rsidR="00D46DAD" w:rsidRPr="00D46DAD">
        <w:rPr>
          <w:rFonts w:ascii="Times New Roman" w:eastAsia="Times New Roman" w:hAnsi="Times New Roman" w:cs="Times New Roman"/>
          <w:bCs/>
          <w:color w:val="2F2F2F"/>
          <w:sz w:val="24"/>
          <w:szCs w:val="24"/>
          <w:lang w:val="ru-RU"/>
        </w:rPr>
        <w:t xml:space="preserve"> </w:t>
      </w: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 является основным органом, ответственным за разработку концепций, утверждение программных документов, координацию реализации политики регионального развития и мониторинг ее выполнения</w:t>
      </w:r>
      <w:r>
        <w:rPr>
          <w:rFonts w:ascii="Times New Roman" w:eastAsia="Times New Roman" w:hAnsi="Times New Roman" w:cs="Times New Roman"/>
          <w:bCs/>
          <w:color w:val="2F2F2F"/>
          <w:sz w:val="24"/>
          <w:szCs w:val="24"/>
          <w:lang w:val="ru-RU"/>
        </w:rPr>
        <w:t xml:space="preserve"> н</w:t>
      </w:r>
      <w:r w:rsidRPr="00D46DAD">
        <w:rPr>
          <w:rFonts w:ascii="Times New Roman" w:eastAsia="Times New Roman" w:hAnsi="Times New Roman" w:cs="Times New Roman"/>
          <w:bCs/>
          <w:color w:val="2F2F2F"/>
          <w:sz w:val="24"/>
          <w:szCs w:val="24"/>
          <w:lang w:val="ru-RU"/>
        </w:rPr>
        <w:t>а центральном уровне</w:t>
      </w:r>
      <w:r w:rsidR="00D46DAD" w:rsidRPr="00D46DAD">
        <w:rPr>
          <w:rFonts w:ascii="Times New Roman" w:eastAsia="Times New Roman" w:hAnsi="Times New Roman" w:cs="Times New Roman"/>
          <w:bCs/>
          <w:color w:val="2F2F2F"/>
          <w:sz w:val="24"/>
          <w:szCs w:val="24"/>
          <w:lang w:val="ru-RU"/>
        </w:rPr>
        <w:t>.</w:t>
      </w:r>
    </w:p>
    <w:p w:rsidR="00D46DAD" w:rsidRPr="00D46DAD" w:rsidRDefault="00D46DAD" w:rsidP="00342D2D">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66590E">
        <w:rPr>
          <w:rFonts w:ascii="Times New Roman" w:eastAsia="Times New Roman" w:hAnsi="Times New Roman" w:cs="Times New Roman"/>
          <w:b/>
          <w:bCs/>
          <w:color w:val="2F2F2F"/>
          <w:sz w:val="24"/>
          <w:szCs w:val="24"/>
          <w:lang w:val="ru-RU"/>
        </w:rPr>
        <w:t>Министерство инфраструктуры и регионального развития</w:t>
      </w:r>
      <w:r w:rsidRPr="00D46DAD">
        <w:rPr>
          <w:rFonts w:ascii="Times New Roman" w:eastAsia="Times New Roman" w:hAnsi="Times New Roman" w:cs="Times New Roman"/>
          <w:bCs/>
          <w:color w:val="2F2F2F"/>
          <w:sz w:val="24"/>
          <w:szCs w:val="24"/>
          <w:lang w:val="ru-RU"/>
        </w:rPr>
        <w:t xml:space="preserve"> является центральным специализированным органом государственного управления, обеспечивающим разработку политики регионального развития. В дополнение к действующим полномочиям, определенным Законом № 438/2006 о региональном развитии в Республике Молдова и соответствующ</w:t>
      </w:r>
      <w:r w:rsidR="00095633">
        <w:rPr>
          <w:rFonts w:ascii="Times New Roman" w:eastAsia="Times New Roman" w:hAnsi="Times New Roman" w:cs="Times New Roman"/>
          <w:bCs/>
          <w:color w:val="2F2F2F"/>
          <w:sz w:val="24"/>
          <w:szCs w:val="24"/>
          <w:lang w:val="ru-RU"/>
        </w:rPr>
        <w:t>ей нормативно-правовой базе, МИР</w:t>
      </w:r>
      <w:r w:rsidRPr="00D46DAD">
        <w:rPr>
          <w:rFonts w:ascii="Times New Roman" w:eastAsia="Times New Roman" w:hAnsi="Times New Roman" w:cs="Times New Roman"/>
          <w:bCs/>
          <w:color w:val="2F2F2F"/>
          <w:sz w:val="24"/>
          <w:szCs w:val="24"/>
          <w:lang w:val="ru-RU"/>
        </w:rPr>
        <w:t>Р выполняет следующие полномочия:</w:t>
      </w:r>
    </w:p>
    <w:p w:rsidR="00D46DAD" w:rsidRPr="00D46DAD" w:rsidRDefault="00D46DAD"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w:t>
      </w: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является основным учреждением, ответственным за реализацию процесса регионального раз</w:t>
      </w:r>
      <w:r>
        <w:rPr>
          <w:rFonts w:ascii="Times New Roman" w:eastAsia="Times New Roman" w:hAnsi="Times New Roman" w:cs="Times New Roman"/>
          <w:bCs/>
          <w:color w:val="2F2F2F"/>
          <w:sz w:val="24"/>
          <w:szCs w:val="24"/>
          <w:lang w:val="ru-RU"/>
        </w:rPr>
        <w:t xml:space="preserve">вития на национальном уровне; </w:t>
      </w:r>
    </w:p>
    <w:p w:rsidR="00D46DAD" w:rsidRPr="00D46DAD" w:rsidRDefault="00D46DAD"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 xml:space="preserve">определяет национальные приоритеты регионального развития, включая процесс ежегодного планирования, мониторинг и оценку реализации </w:t>
      </w:r>
      <w:r w:rsidR="00095633">
        <w:rPr>
          <w:rFonts w:ascii="Times New Roman" w:eastAsia="Times New Roman" w:hAnsi="Times New Roman" w:cs="Times New Roman"/>
          <w:bCs/>
          <w:color w:val="2F2F2F"/>
          <w:sz w:val="24"/>
          <w:szCs w:val="24"/>
          <w:lang w:val="ru-RU"/>
        </w:rPr>
        <w:t>НСРР</w:t>
      </w:r>
      <w:r w:rsidRPr="00D46DAD">
        <w:rPr>
          <w:rFonts w:ascii="Times New Roman" w:eastAsia="Times New Roman" w:hAnsi="Times New Roman" w:cs="Times New Roman"/>
          <w:bCs/>
          <w:color w:val="2F2F2F"/>
          <w:sz w:val="24"/>
          <w:szCs w:val="24"/>
          <w:lang w:val="ru-RU"/>
        </w:rPr>
        <w:t>;</w:t>
      </w:r>
    </w:p>
    <w:p w:rsidR="00D46DAD" w:rsidRPr="00D46DAD" w:rsidRDefault="00D46DAD"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обеспечивает подтверждение отраслевых государственных мер поддержки развития регионов;</w:t>
      </w:r>
    </w:p>
    <w:p w:rsidR="00D46DAD" w:rsidRPr="00D46DAD" w:rsidRDefault="00D46DAD"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интегрирует эти меры в единую и синхронизированную политическую структуру.</w:t>
      </w:r>
    </w:p>
    <w:p w:rsidR="00D46DAD" w:rsidRPr="00D46DAD" w:rsidRDefault="00D46DAD" w:rsidP="00342D2D">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66590E">
        <w:rPr>
          <w:rFonts w:ascii="Times New Roman" w:eastAsia="Times New Roman" w:hAnsi="Times New Roman" w:cs="Times New Roman"/>
          <w:b/>
          <w:bCs/>
          <w:color w:val="2F2F2F"/>
          <w:sz w:val="24"/>
          <w:szCs w:val="24"/>
          <w:lang w:val="ru-RU"/>
        </w:rPr>
        <w:t xml:space="preserve">Совет по региональному развитию </w:t>
      </w:r>
      <w:r w:rsidR="0066590E" w:rsidRPr="0066590E">
        <w:rPr>
          <w:rFonts w:ascii="Times New Roman" w:eastAsia="Times New Roman" w:hAnsi="Times New Roman" w:cs="Times New Roman"/>
          <w:b/>
          <w:bCs/>
          <w:color w:val="2F2F2F"/>
          <w:sz w:val="24"/>
          <w:szCs w:val="24"/>
          <w:lang w:val="ru-RU"/>
        </w:rPr>
        <w:t xml:space="preserve">АТО </w:t>
      </w:r>
      <w:r w:rsidR="00095633" w:rsidRPr="0066590E">
        <w:rPr>
          <w:rFonts w:ascii="Times New Roman" w:eastAsia="Times New Roman" w:hAnsi="Times New Roman" w:cs="Times New Roman"/>
          <w:b/>
          <w:bCs/>
          <w:color w:val="2F2F2F"/>
          <w:sz w:val="24"/>
          <w:szCs w:val="24"/>
          <w:lang w:val="ru-RU"/>
        </w:rPr>
        <w:t>Гагауз</w:t>
      </w:r>
      <w:r w:rsidR="0066590E" w:rsidRPr="0066590E">
        <w:rPr>
          <w:rFonts w:ascii="Times New Roman" w:eastAsia="Times New Roman" w:hAnsi="Times New Roman" w:cs="Times New Roman"/>
          <w:b/>
          <w:bCs/>
          <w:color w:val="2F2F2F"/>
          <w:sz w:val="24"/>
          <w:szCs w:val="24"/>
          <w:lang w:val="ru-RU"/>
        </w:rPr>
        <w:t>ия</w:t>
      </w:r>
      <w:r w:rsidRPr="00D46DAD">
        <w:rPr>
          <w:rFonts w:ascii="Times New Roman" w:eastAsia="Times New Roman" w:hAnsi="Times New Roman" w:cs="Times New Roman"/>
          <w:bCs/>
          <w:color w:val="2F2F2F"/>
          <w:sz w:val="24"/>
          <w:szCs w:val="24"/>
          <w:lang w:val="ru-RU"/>
        </w:rPr>
        <w:t xml:space="preserve"> является региональной структуро</w:t>
      </w:r>
      <w:r>
        <w:rPr>
          <w:rFonts w:ascii="Times New Roman" w:eastAsia="Times New Roman" w:hAnsi="Times New Roman" w:cs="Times New Roman"/>
          <w:bCs/>
          <w:color w:val="2F2F2F"/>
          <w:sz w:val="24"/>
          <w:szCs w:val="24"/>
          <w:lang w:val="ru-RU"/>
        </w:rPr>
        <w:t>й, ответственной за продвижение</w:t>
      </w:r>
      <w:r>
        <w:rPr>
          <w:rFonts w:ascii="Times New Roman" w:eastAsia="Times New Roman" w:hAnsi="Times New Roman" w:cs="Times New Roman"/>
          <w:bCs/>
          <w:color w:val="2F2F2F"/>
          <w:sz w:val="24"/>
          <w:szCs w:val="24"/>
          <w:lang w:val="ro-MD"/>
        </w:rPr>
        <w:t xml:space="preserve"> </w:t>
      </w:r>
      <w:r w:rsidRPr="00D46DAD">
        <w:rPr>
          <w:rFonts w:ascii="Times New Roman" w:eastAsia="Times New Roman" w:hAnsi="Times New Roman" w:cs="Times New Roman"/>
          <w:bCs/>
          <w:color w:val="2F2F2F"/>
          <w:sz w:val="24"/>
          <w:szCs w:val="24"/>
          <w:lang w:val="ru-RU"/>
        </w:rPr>
        <w:t>и координацию реализации программ и проектов развития на регион</w:t>
      </w:r>
      <w:r>
        <w:rPr>
          <w:rFonts w:ascii="Times New Roman" w:eastAsia="Times New Roman" w:hAnsi="Times New Roman" w:cs="Times New Roman"/>
          <w:bCs/>
          <w:color w:val="2F2F2F"/>
          <w:sz w:val="24"/>
          <w:szCs w:val="24"/>
          <w:lang w:val="ru-RU"/>
        </w:rPr>
        <w:t>альном уровне. В этом отношении</w:t>
      </w:r>
      <w:r>
        <w:rPr>
          <w:rFonts w:ascii="Times New Roman" w:eastAsia="Times New Roman" w:hAnsi="Times New Roman" w:cs="Times New Roman"/>
          <w:bCs/>
          <w:color w:val="2F2F2F"/>
          <w:sz w:val="24"/>
          <w:szCs w:val="24"/>
          <w:lang w:val="ro-MD"/>
        </w:rPr>
        <w:t xml:space="preserve"> </w:t>
      </w:r>
      <w:r w:rsidR="00095633">
        <w:rPr>
          <w:rFonts w:ascii="Times New Roman" w:eastAsia="Times New Roman" w:hAnsi="Times New Roman" w:cs="Times New Roman"/>
          <w:bCs/>
          <w:color w:val="2F2F2F"/>
          <w:sz w:val="24"/>
          <w:szCs w:val="24"/>
          <w:lang w:val="ru-RU"/>
        </w:rPr>
        <w:t xml:space="preserve">РСР </w:t>
      </w:r>
      <w:r w:rsidRPr="00D46DAD">
        <w:rPr>
          <w:rFonts w:ascii="Times New Roman" w:eastAsia="Times New Roman" w:hAnsi="Times New Roman" w:cs="Times New Roman"/>
          <w:bCs/>
          <w:color w:val="2F2F2F"/>
          <w:sz w:val="24"/>
          <w:szCs w:val="24"/>
          <w:lang w:val="ru-RU"/>
        </w:rPr>
        <w:t>имеет следую</w:t>
      </w:r>
      <w:r>
        <w:rPr>
          <w:rFonts w:ascii="Times New Roman" w:eastAsia="Times New Roman" w:hAnsi="Times New Roman" w:cs="Times New Roman"/>
          <w:bCs/>
          <w:color w:val="2F2F2F"/>
          <w:sz w:val="24"/>
          <w:szCs w:val="24"/>
          <w:lang w:val="ru-RU"/>
        </w:rPr>
        <w:t xml:space="preserve">щие основные полномочия: </w:t>
      </w:r>
    </w:p>
    <w:p w:rsidR="00D46DAD" w:rsidRPr="00D46DAD" w:rsidRDefault="00095633"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утверждает Региональную </w:t>
      </w:r>
      <w:r w:rsidR="0066590E">
        <w:rPr>
          <w:rFonts w:ascii="Times New Roman" w:eastAsia="Times New Roman" w:hAnsi="Times New Roman" w:cs="Times New Roman"/>
          <w:bCs/>
          <w:color w:val="2F2F2F"/>
          <w:sz w:val="24"/>
          <w:szCs w:val="24"/>
          <w:lang w:val="ru-RU"/>
        </w:rPr>
        <w:t>Опера</w:t>
      </w:r>
      <w:r w:rsidR="00342D2D">
        <w:rPr>
          <w:rFonts w:ascii="Times New Roman" w:eastAsia="Times New Roman" w:hAnsi="Times New Roman" w:cs="Times New Roman"/>
          <w:bCs/>
          <w:color w:val="2F2F2F"/>
          <w:sz w:val="24"/>
          <w:szCs w:val="24"/>
          <w:lang w:val="ru-RU"/>
        </w:rPr>
        <w:t>цион</w:t>
      </w:r>
      <w:r w:rsidR="0066590E">
        <w:rPr>
          <w:rFonts w:ascii="Times New Roman" w:eastAsia="Times New Roman" w:hAnsi="Times New Roman" w:cs="Times New Roman"/>
          <w:bCs/>
          <w:color w:val="2F2F2F"/>
          <w:sz w:val="24"/>
          <w:szCs w:val="24"/>
          <w:lang w:val="ru-RU"/>
        </w:rPr>
        <w:t xml:space="preserve">ную </w:t>
      </w:r>
      <w:r w:rsidR="00342D2D">
        <w:rPr>
          <w:rFonts w:ascii="Times New Roman" w:eastAsia="Times New Roman" w:hAnsi="Times New Roman" w:cs="Times New Roman"/>
          <w:bCs/>
          <w:color w:val="2F2F2F"/>
          <w:sz w:val="24"/>
          <w:szCs w:val="24"/>
          <w:lang w:val="ru-RU"/>
        </w:rPr>
        <w:t>П</w:t>
      </w:r>
      <w:r w:rsidR="00D46DAD" w:rsidRPr="00D46DAD">
        <w:rPr>
          <w:rFonts w:ascii="Times New Roman" w:eastAsia="Times New Roman" w:hAnsi="Times New Roman" w:cs="Times New Roman"/>
          <w:bCs/>
          <w:color w:val="2F2F2F"/>
          <w:sz w:val="24"/>
          <w:szCs w:val="24"/>
          <w:lang w:val="ru-RU"/>
        </w:rPr>
        <w:t xml:space="preserve">рограмму развития Гагаузии и Ежегодный план реализации Региональной </w:t>
      </w:r>
      <w:r w:rsidR="0066590E">
        <w:rPr>
          <w:rFonts w:ascii="Times New Roman" w:eastAsia="Times New Roman" w:hAnsi="Times New Roman" w:cs="Times New Roman"/>
          <w:bCs/>
          <w:color w:val="2F2F2F"/>
          <w:sz w:val="24"/>
          <w:szCs w:val="24"/>
          <w:lang w:val="ru-RU"/>
        </w:rPr>
        <w:t>Опера</w:t>
      </w:r>
      <w:r w:rsidR="00342D2D">
        <w:rPr>
          <w:rFonts w:ascii="Times New Roman" w:eastAsia="Times New Roman" w:hAnsi="Times New Roman" w:cs="Times New Roman"/>
          <w:bCs/>
          <w:color w:val="2F2F2F"/>
          <w:sz w:val="24"/>
          <w:szCs w:val="24"/>
          <w:lang w:val="ru-RU"/>
        </w:rPr>
        <w:t>цион</w:t>
      </w:r>
      <w:r w:rsidR="0066590E">
        <w:rPr>
          <w:rFonts w:ascii="Times New Roman" w:eastAsia="Times New Roman" w:hAnsi="Times New Roman" w:cs="Times New Roman"/>
          <w:bCs/>
          <w:color w:val="2F2F2F"/>
          <w:sz w:val="24"/>
          <w:szCs w:val="24"/>
          <w:lang w:val="ru-RU"/>
        </w:rPr>
        <w:t xml:space="preserve">ной </w:t>
      </w:r>
      <w:r w:rsidR="00342D2D">
        <w:rPr>
          <w:rFonts w:ascii="Times New Roman" w:eastAsia="Times New Roman" w:hAnsi="Times New Roman" w:cs="Times New Roman"/>
          <w:bCs/>
          <w:color w:val="2F2F2F"/>
          <w:sz w:val="24"/>
          <w:szCs w:val="24"/>
          <w:lang w:val="ru-RU"/>
        </w:rPr>
        <w:t>П</w:t>
      </w:r>
      <w:r w:rsidR="00D46DAD" w:rsidRPr="00D46DAD">
        <w:rPr>
          <w:rFonts w:ascii="Times New Roman" w:eastAsia="Times New Roman" w:hAnsi="Times New Roman" w:cs="Times New Roman"/>
          <w:bCs/>
          <w:color w:val="2F2F2F"/>
          <w:sz w:val="24"/>
          <w:szCs w:val="24"/>
          <w:lang w:val="ru-RU"/>
        </w:rPr>
        <w:t xml:space="preserve">рограммы развития, </w:t>
      </w:r>
      <w:r w:rsidR="00D46DAD" w:rsidRPr="00C5758D">
        <w:rPr>
          <w:rFonts w:ascii="Times New Roman" w:eastAsia="Times New Roman" w:hAnsi="Times New Roman" w:cs="Times New Roman"/>
          <w:bCs/>
          <w:color w:val="2F2F2F"/>
          <w:sz w:val="24"/>
          <w:szCs w:val="24"/>
          <w:lang w:val="ru-RU"/>
        </w:rPr>
        <w:t xml:space="preserve">разработанный </w:t>
      </w:r>
      <w:r w:rsidR="00C5758D">
        <w:rPr>
          <w:rFonts w:ascii="Times New Roman" w:eastAsia="Times New Roman" w:hAnsi="Times New Roman" w:cs="Times New Roman"/>
          <w:bCs/>
          <w:color w:val="2F2F2F"/>
          <w:sz w:val="24"/>
          <w:szCs w:val="24"/>
          <w:lang w:val="ru-RU"/>
        </w:rPr>
        <w:t>АР</w:t>
      </w:r>
      <w:r w:rsidR="00C5758D" w:rsidRPr="00C5758D">
        <w:rPr>
          <w:rFonts w:ascii="Times New Roman" w:eastAsia="Times New Roman" w:hAnsi="Times New Roman" w:cs="Times New Roman"/>
          <w:bCs/>
          <w:color w:val="2F2F2F"/>
          <w:sz w:val="24"/>
          <w:szCs w:val="24"/>
          <w:lang w:val="ru-RU"/>
        </w:rPr>
        <w:t>Р АТО</w:t>
      </w:r>
      <w:r w:rsidR="00D46DAD" w:rsidRPr="00C5758D">
        <w:rPr>
          <w:rFonts w:ascii="Times New Roman" w:eastAsia="Times New Roman" w:hAnsi="Times New Roman" w:cs="Times New Roman"/>
          <w:bCs/>
          <w:color w:val="2F2F2F"/>
          <w:sz w:val="24"/>
          <w:szCs w:val="24"/>
          <w:lang w:val="ru-RU"/>
        </w:rPr>
        <w:t>;</w:t>
      </w:r>
    </w:p>
    <w:p w:rsidR="00D46DAD" w:rsidRPr="00D46DAD" w:rsidRDefault="00095633"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утверждает и продвигает проекты регионального развития;</w:t>
      </w:r>
    </w:p>
    <w:p w:rsidR="00D46DAD" w:rsidRPr="00D46DAD" w:rsidRDefault="00095633"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представляет регион развития и его интересы в </w:t>
      </w:r>
      <w:r>
        <w:rPr>
          <w:rFonts w:ascii="Times New Roman" w:eastAsia="Times New Roman" w:hAnsi="Times New Roman" w:cs="Times New Roman"/>
          <w:bCs/>
          <w:color w:val="2F2F2F"/>
          <w:sz w:val="24"/>
          <w:szCs w:val="24"/>
          <w:lang w:val="ru-RU"/>
        </w:rPr>
        <w:t>НКСРМР</w:t>
      </w:r>
      <w:r w:rsidR="00D46DAD" w:rsidRPr="00D46DAD">
        <w:rPr>
          <w:rFonts w:ascii="Times New Roman" w:eastAsia="Times New Roman" w:hAnsi="Times New Roman" w:cs="Times New Roman"/>
          <w:bCs/>
          <w:color w:val="2F2F2F"/>
          <w:sz w:val="24"/>
          <w:szCs w:val="24"/>
          <w:lang w:val="ru-RU"/>
        </w:rPr>
        <w:t>;</w:t>
      </w:r>
    </w:p>
    <w:p w:rsidR="00D46DAD" w:rsidRPr="00D46DAD" w:rsidRDefault="00095633"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контролирует использование финансовых средств из </w:t>
      </w:r>
      <w:r>
        <w:rPr>
          <w:rFonts w:ascii="Times New Roman" w:eastAsia="Times New Roman" w:hAnsi="Times New Roman" w:cs="Times New Roman"/>
          <w:bCs/>
          <w:color w:val="2F2F2F"/>
          <w:sz w:val="24"/>
          <w:szCs w:val="24"/>
          <w:lang w:val="ru-RU"/>
        </w:rPr>
        <w:t>НФРМР</w:t>
      </w:r>
      <w:r w:rsidR="00D46DAD" w:rsidRPr="00D46DAD">
        <w:rPr>
          <w:rFonts w:ascii="Times New Roman" w:eastAsia="Times New Roman" w:hAnsi="Times New Roman" w:cs="Times New Roman"/>
          <w:bCs/>
          <w:color w:val="2F2F2F"/>
          <w:sz w:val="24"/>
          <w:szCs w:val="24"/>
          <w:lang w:val="ru-RU"/>
        </w:rPr>
        <w:t>, выделенных для</w:t>
      </w:r>
      <w:r>
        <w:rPr>
          <w:rFonts w:ascii="Times New Roman" w:eastAsia="Times New Roman" w:hAnsi="Times New Roman" w:cs="Times New Roman"/>
          <w:bCs/>
          <w:color w:val="2F2F2F"/>
          <w:sz w:val="24"/>
          <w:szCs w:val="24"/>
          <w:lang w:val="ru-RU"/>
        </w:rPr>
        <w:t xml:space="preserve"> региона развития АТО Гагаузия.</w:t>
      </w:r>
    </w:p>
    <w:p w:rsidR="00D46DAD" w:rsidRPr="00D46DAD" w:rsidRDefault="00095633" w:rsidP="00342D2D">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После </w:t>
      </w:r>
      <w:r w:rsidR="00D46DAD" w:rsidRPr="00D46DAD">
        <w:rPr>
          <w:rFonts w:ascii="Times New Roman" w:eastAsia="Times New Roman" w:hAnsi="Times New Roman" w:cs="Times New Roman"/>
          <w:bCs/>
          <w:color w:val="2F2F2F"/>
          <w:sz w:val="24"/>
          <w:szCs w:val="24"/>
          <w:lang w:val="ru-RU"/>
        </w:rPr>
        <w:t xml:space="preserve">утверждения </w:t>
      </w:r>
      <w:r w:rsidR="0066590E">
        <w:rPr>
          <w:rFonts w:ascii="Times New Roman" w:eastAsia="Times New Roman" w:hAnsi="Times New Roman" w:cs="Times New Roman"/>
          <w:bCs/>
          <w:color w:val="2F2F2F"/>
          <w:sz w:val="24"/>
          <w:szCs w:val="24"/>
          <w:lang w:val="ru-RU"/>
        </w:rPr>
        <w:t xml:space="preserve">РСР АТО Гагаузия </w:t>
      </w:r>
      <w:r w:rsidR="00D46DAD" w:rsidRPr="00D46DAD">
        <w:rPr>
          <w:rFonts w:ascii="Times New Roman" w:eastAsia="Times New Roman" w:hAnsi="Times New Roman" w:cs="Times New Roman"/>
          <w:bCs/>
          <w:color w:val="2F2F2F"/>
          <w:sz w:val="24"/>
          <w:szCs w:val="24"/>
          <w:lang w:val="ru-RU"/>
        </w:rPr>
        <w:t xml:space="preserve">Региональная </w:t>
      </w:r>
      <w:r w:rsidR="0066590E">
        <w:rPr>
          <w:rFonts w:ascii="Times New Roman" w:eastAsia="Times New Roman" w:hAnsi="Times New Roman" w:cs="Times New Roman"/>
          <w:bCs/>
          <w:color w:val="2F2F2F"/>
          <w:sz w:val="24"/>
          <w:szCs w:val="24"/>
          <w:lang w:val="ru-RU"/>
        </w:rPr>
        <w:t>Опера</w:t>
      </w:r>
      <w:r w:rsidR="00342D2D">
        <w:rPr>
          <w:rFonts w:ascii="Times New Roman" w:eastAsia="Times New Roman" w:hAnsi="Times New Roman" w:cs="Times New Roman"/>
          <w:bCs/>
          <w:color w:val="2F2F2F"/>
          <w:sz w:val="24"/>
          <w:szCs w:val="24"/>
          <w:lang w:val="ru-RU"/>
        </w:rPr>
        <w:t>цион</w:t>
      </w:r>
      <w:r w:rsidR="0066590E">
        <w:rPr>
          <w:rFonts w:ascii="Times New Roman" w:eastAsia="Times New Roman" w:hAnsi="Times New Roman" w:cs="Times New Roman"/>
          <w:bCs/>
          <w:color w:val="2F2F2F"/>
          <w:sz w:val="24"/>
          <w:szCs w:val="24"/>
          <w:lang w:val="ru-RU"/>
        </w:rPr>
        <w:t xml:space="preserve">ная </w:t>
      </w:r>
      <w:r w:rsidR="00342D2D">
        <w:rPr>
          <w:rFonts w:ascii="Times New Roman" w:eastAsia="Times New Roman" w:hAnsi="Times New Roman" w:cs="Times New Roman"/>
          <w:bCs/>
          <w:color w:val="2F2F2F"/>
          <w:sz w:val="24"/>
          <w:szCs w:val="24"/>
          <w:lang w:val="ru-RU"/>
        </w:rPr>
        <w:t>П</w:t>
      </w:r>
      <w:r w:rsidR="0066590E" w:rsidRPr="00D46DAD">
        <w:rPr>
          <w:rFonts w:ascii="Times New Roman" w:eastAsia="Times New Roman" w:hAnsi="Times New Roman" w:cs="Times New Roman"/>
          <w:bCs/>
          <w:color w:val="2F2F2F"/>
          <w:sz w:val="24"/>
          <w:szCs w:val="24"/>
          <w:lang w:val="ru-RU"/>
        </w:rPr>
        <w:t xml:space="preserve">рограмма </w:t>
      </w:r>
      <w:r w:rsidR="0066590E">
        <w:rPr>
          <w:rFonts w:ascii="Times New Roman" w:eastAsia="Times New Roman" w:hAnsi="Times New Roman" w:cs="Times New Roman"/>
          <w:bCs/>
          <w:color w:val="2F2F2F"/>
          <w:sz w:val="24"/>
          <w:szCs w:val="24"/>
          <w:lang w:val="ru-RU"/>
        </w:rPr>
        <w:t>официально</w:t>
      </w:r>
      <w:r w:rsidR="00D46DAD" w:rsidRPr="00D46DAD">
        <w:rPr>
          <w:rFonts w:ascii="Times New Roman" w:eastAsia="Times New Roman" w:hAnsi="Times New Roman" w:cs="Times New Roman"/>
          <w:bCs/>
          <w:color w:val="2F2F2F"/>
          <w:sz w:val="24"/>
          <w:szCs w:val="24"/>
          <w:lang w:val="ru-RU"/>
        </w:rPr>
        <w:t xml:space="preserve"> становится программным документом для реализации приоритетных мер, проектов и мероприятий по </w:t>
      </w:r>
      <w:r w:rsidR="0066590E">
        <w:rPr>
          <w:rFonts w:ascii="Times New Roman" w:eastAsia="Times New Roman" w:hAnsi="Times New Roman" w:cs="Times New Roman"/>
          <w:bCs/>
          <w:color w:val="2F2F2F"/>
          <w:sz w:val="24"/>
          <w:szCs w:val="24"/>
          <w:lang w:val="ru-RU"/>
        </w:rPr>
        <w:t>внедрению НСРР</w:t>
      </w:r>
      <w:r w:rsidR="00D46DAD" w:rsidRPr="00D46DAD">
        <w:rPr>
          <w:rFonts w:ascii="Times New Roman" w:eastAsia="Times New Roman" w:hAnsi="Times New Roman" w:cs="Times New Roman"/>
          <w:bCs/>
          <w:color w:val="2F2F2F"/>
          <w:sz w:val="24"/>
          <w:szCs w:val="24"/>
          <w:lang w:val="ru-RU"/>
        </w:rPr>
        <w:t xml:space="preserve"> на региональном уровне, включая действия, которые необходимо выполнить.</w:t>
      </w:r>
    </w:p>
    <w:p w:rsidR="00D46DAD" w:rsidRPr="00D46DAD" w:rsidRDefault="0066590E" w:rsidP="00342D2D">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2353B9">
        <w:rPr>
          <w:rFonts w:ascii="Times New Roman" w:eastAsia="Times New Roman" w:hAnsi="Times New Roman" w:cs="Times New Roman"/>
          <w:b/>
          <w:bCs/>
          <w:color w:val="2F2F2F"/>
          <w:sz w:val="24"/>
          <w:szCs w:val="24"/>
          <w:lang w:val="ru-RU"/>
        </w:rPr>
        <w:t>А</w:t>
      </w:r>
      <w:r w:rsidR="002353B9">
        <w:rPr>
          <w:rFonts w:ascii="Times New Roman" w:eastAsia="Times New Roman" w:hAnsi="Times New Roman" w:cs="Times New Roman"/>
          <w:b/>
          <w:bCs/>
          <w:color w:val="2F2F2F"/>
          <w:sz w:val="24"/>
          <w:szCs w:val="24"/>
          <w:lang w:val="ru-RU"/>
        </w:rPr>
        <w:t xml:space="preserve">гентство Регионального </w:t>
      </w:r>
      <w:r w:rsidRPr="002353B9">
        <w:rPr>
          <w:rFonts w:ascii="Times New Roman" w:eastAsia="Times New Roman" w:hAnsi="Times New Roman" w:cs="Times New Roman"/>
          <w:b/>
          <w:bCs/>
          <w:color w:val="2F2F2F"/>
          <w:sz w:val="24"/>
          <w:szCs w:val="24"/>
          <w:lang w:val="ru-RU"/>
        </w:rPr>
        <w:t>Р</w:t>
      </w:r>
      <w:r w:rsidR="002353B9">
        <w:rPr>
          <w:rFonts w:ascii="Times New Roman" w:eastAsia="Times New Roman" w:hAnsi="Times New Roman" w:cs="Times New Roman"/>
          <w:b/>
          <w:bCs/>
          <w:color w:val="2F2F2F"/>
          <w:sz w:val="24"/>
          <w:szCs w:val="24"/>
          <w:lang w:val="ru-RU"/>
        </w:rPr>
        <w:t xml:space="preserve">азвития </w:t>
      </w:r>
      <w:r w:rsidRPr="002353B9">
        <w:rPr>
          <w:rFonts w:ascii="Times New Roman" w:eastAsia="Times New Roman" w:hAnsi="Times New Roman" w:cs="Times New Roman"/>
          <w:b/>
          <w:bCs/>
          <w:color w:val="2F2F2F"/>
          <w:sz w:val="24"/>
          <w:szCs w:val="24"/>
          <w:lang w:val="ru-RU"/>
        </w:rPr>
        <w:t>АТО</w:t>
      </w:r>
      <w:r w:rsidR="00D46DAD" w:rsidRPr="002353B9">
        <w:rPr>
          <w:rFonts w:ascii="Times New Roman" w:eastAsia="Times New Roman" w:hAnsi="Times New Roman" w:cs="Times New Roman"/>
          <w:b/>
          <w:bCs/>
          <w:color w:val="2F2F2F"/>
          <w:sz w:val="24"/>
          <w:szCs w:val="24"/>
          <w:lang w:val="ru-RU"/>
        </w:rPr>
        <w:t xml:space="preserve"> Гаг</w:t>
      </w:r>
      <w:r w:rsidRPr="002353B9">
        <w:rPr>
          <w:rFonts w:ascii="Times New Roman" w:eastAsia="Times New Roman" w:hAnsi="Times New Roman" w:cs="Times New Roman"/>
          <w:b/>
          <w:bCs/>
          <w:color w:val="2F2F2F"/>
          <w:sz w:val="24"/>
          <w:szCs w:val="24"/>
          <w:lang w:val="ru-RU"/>
        </w:rPr>
        <w:t>аузия</w:t>
      </w:r>
      <w:r w:rsidR="00D46DAD" w:rsidRPr="00D46DAD">
        <w:rPr>
          <w:rFonts w:ascii="Times New Roman" w:eastAsia="Times New Roman" w:hAnsi="Times New Roman" w:cs="Times New Roman"/>
          <w:bCs/>
          <w:color w:val="2F2F2F"/>
          <w:sz w:val="24"/>
          <w:szCs w:val="24"/>
          <w:lang w:val="ru-RU"/>
        </w:rPr>
        <w:t xml:space="preserve"> является </w:t>
      </w:r>
      <w:r w:rsidR="002353B9">
        <w:rPr>
          <w:rFonts w:ascii="Times New Roman" w:eastAsia="Times New Roman" w:hAnsi="Times New Roman" w:cs="Times New Roman"/>
          <w:bCs/>
          <w:color w:val="2F2F2F"/>
          <w:sz w:val="24"/>
          <w:szCs w:val="24"/>
          <w:lang w:val="ru-RU"/>
        </w:rPr>
        <w:t xml:space="preserve">основным </w:t>
      </w:r>
      <w:r w:rsidR="00D46DAD" w:rsidRPr="00D46DAD">
        <w:rPr>
          <w:rFonts w:ascii="Times New Roman" w:eastAsia="Times New Roman" w:hAnsi="Times New Roman" w:cs="Times New Roman"/>
          <w:bCs/>
          <w:color w:val="2F2F2F"/>
          <w:sz w:val="24"/>
          <w:szCs w:val="24"/>
          <w:lang w:val="ru-RU"/>
        </w:rPr>
        <w:t xml:space="preserve">учреждением, ответственным за </w:t>
      </w:r>
      <w:r w:rsidR="002353B9" w:rsidRPr="00D46DAD">
        <w:rPr>
          <w:rFonts w:ascii="Times New Roman" w:eastAsia="Times New Roman" w:hAnsi="Times New Roman" w:cs="Times New Roman"/>
          <w:bCs/>
          <w:color w:val="2F2F2F"/>
          <w:sz w:val="24"/>
          <w:szCs w:val="24"/>
          <w:lang w:val="ru-RU"/>
        </w:rPr>
        <w:t xml:space="preserve">реализацию Региональной </w:t>
      </w:r>
      <w:r w:rsidR="002353B9">
        <w:rPr>
          <w:rFonts w:ascii="Times New Roman" w:eastAsia="Times New Roman" w:hAnsi="Times New Roman" w:cs="Times New Roman"/>
          <w:bCs/>
          <w:color w:val="2F2F2F"/>
          <w:sz w:val="24"/>
          <w:szCs w:val="24"/>
          <w:lang w:val="ru-RU"/>
        </w:rPr>
        <w:t>Опера</w:t>
      </w:r>
      <w:r w:rsidR="00342D2D">
        <w:rPr>
          <w:rFonts w:ascii="Times New Roman" w:eastAsia="Times New Roman" w:hAnsi="Times New Roman" w:cs="Times New Roman"/>
          <w:bCs/>
          <w:color w:val="2F2F2F"/>
          <w:sz w:val="24"/>
          <w:szCs w:val="24"/>
          <w:lang w:val="ru-RU"/>
        </w:rPr>
        <w:t>цион</w:t>
      </w:r>
      <w:r w:rsidR="002353B9">
        <w:rPr>
          <w:rFonts w:ascii="Times New Roman" w:eastAsia="Times New Roman" w:hAnsi="Times New Roman" w:cs="Times New Roman"/>
          <w:bCs/>
          <w:color w:val="2F2F2F"/>
          <w:sz w:val="24"/>
          <w:szCs w:val="24"/>
          <w:lang w:val="ru-RU"/>
        </w:rPr>
        <w:t xml:space="preserve">ной </w:t>
      </w:r>
      <w:r w:rsidR="00342D2D">
        <w:rPr>
          <w:rFonts w:ascii="Times New Roman" w:eastAsia="Times New Roman" w:hAnsi="Times New Roman" w:cs="Times New Roman"/>
          <w:bCs/>
          <w:color w:val="2F2F2F"/>
          <w:sz w:val="24"/>
          <w:szCs w:val="24"/>
          <w:lang w:val="ru-RU"/>
        </w:rPr>
        <w:t>П</w:t>
      </w:r>
      <w:r w:rsidR="002353B9" w:rsidRPr="00D46DAD">
        <w:rPr>
          <w:rFonts w:ascii="Times New Roman" w:eastAsia="Times New Roman" w:hAnsi="Times New Roman" w:cs="Times New Roman"/>
          <w:bCs/>
          <w:color w:val="2F2F2F"/>
          <w:sz w:val="24"/>
          <w:szCs w:val="24"/>
          <w:lang w:val="ru-RU"/>
        </w:rPr>
        <w:t xml:space="preserve">рограммы </w:t>
      </w:r>
      <w:r w:rsidR="00342D2D">
        <w:rPr>
          <w:rFonts w:ascii="Times New Roman" w:eastAsia="Times New Roman" w:hAnsi="Times New Roman" w:cs="Times New Roman"/>
          <w:bCs/>
          <w:color w:val="2F2F2F"/>
          <w:sz w:val="24"/>
          <w:szCs w:val="24"/>
          <w:lang w:val="ru-RU"/>
        </w:rPr>
        <w:t xml:space="preserve">региона </w:t>
      </w:r>
      <w:r w:rsidR="002353B9" w:rsidRPr="00D46DAD">
        <w:rPr>
          <w:rFonts w:ascii="Times New Roman" w:eastAsia="Times New Roman" w:hAnsi="Times New Roman" w:cs="Times New Roman"/>
          <w:bCs/>
          <w:color w:val="2F2F2F"/>
          <w:sz w:val="24"/>
          <w:szCs w:val="24"/>
          <w:lang w:val="ru-RU"/>
        </w:rPr>
        <w:t xml:space="preserve">развития </w:t>
      </w:r>
      <w:r w:rsidR="002353B9">
        <w:rPr>
          <w:rFonts w:ascii="Times New Roman" w:eastAsia="Times New Roman" w:hAnsi="Times New Roman" w:cs="Times New Roman"/>
          <w:bCs/>
          <w:color w:val="2F2F2F"/>
          <w:sz w:val="24"/>
          <w:szCs w:val="24"/>
          <w:lang w:val="ru-RU"/>
        </w:rPr>
        <w:t>АТО Гагаузия, посредством которой внедряются национальные цели</w:t>
      </w:r>
      <w:r w:rsidR="00D46DAD" w:rsidRPr="00D46DAD">
        <w:rPr>
          <w:rFonts w:ascii="Times New Roman" w:eastAsia="Times New Roman" w:hAnsi="Times New Roman" w:cs="Times New Roman"/>
          <w:bCs/>
          <w:color w:val="2F2F2F"/>
          <w:sz w:val="24"/>
          <w:szCs w:val="24"/>
          <w:lang w:val="ru-RU"/>
        </w:rPr>
        <w:t xml:space="preserve"> поли</w:t>
      </w:r>
      <w:r w:rsidR="002353B9">
        <w:rPr>
          <w:rFonts w:ascii="Times New Roman" w:eastAsia="Times New Roman" w:hAnsi="Times New Roman" w:cs="Times New Roman"/>
          <w:bCs/>
          <w:color w:val="2F2F2F"/>
          <w:sz w:val="24"/>
          <w:szCs w:val="24"/>
          <w:lang w:val="ru-RU"/>
        </w:rPr>
        <w:t>тики регионального развития в регионе развития АТО Гагаузия.</w:t>
      </w:r>
      <w:r w:rsidR="00D46DAD" w:rsidRPr="00D46DAD">
        <w:rPr>
          <w:rFonts w:ascii="Times New Roman" w:eastAsia="Times New Roman" w:hAnsi="Times New Roman" w:cs="Times New Roman"/>
          <w:bCs/>
          <w:color w:val="2F2F2F"/>
          <w:sz w:val="24"/>
          <w:szCs w:val="24"/>
          <w:lang w:val="ru-RU"/>
        </w:rPr>
        <w:t xml:space="preserve"> В соответствии с нормативно-правовой базой, </w:t>
      </w:r>
      <w:r w:rsidR="002353B9">
        <w:rPr>
          <w:rFonts w:ascii="Times New Roman" w:eastAsia="Times New Roman" w:hAnsi="Times New Roman" w:cs="Times New Roman"/>
          <w:bCs/>
          <w:color w:val="2F2F2F"/>
          <w:sz w:val="24"/>
          <w:szCs w:val="24"/>
          <w:lang w:val="ru-RU"/>
        </w:rPr>
        <w:t>АРР</w:t>
      </w:r>
      <w:r w:rsidR="00D46DAD" w:rsidRPr="00D46DAD">
        <w:rPr>
          <w:rFonts w:ascii="Times New Roman" w:eastAsia="Times New Roman" w:hAnsi="Times New Roman" w:cs="Times New Roman"/>
          <w:bCs/>
          <w:color w:val="2F2F2F"/>
          <w:sz w:val="24"/>
          <w:szCs w:val="24"/>
          <w:lang w:val="ru-RU"/>
        </w:rPr>
        <w:t xml:space="preserve"> выполняет следующие задачи: </w:t>
      </w:r>
    </w:p>
    <w:p w:rsidR="00D46DAD" w:rsidRPr="00D46DAD" w:rsidRDefault="002353B9"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координирует процесс реализации Р</w:t>
      </w:r>
      <w:r>
        <w:rPr>
          <w:rFonts w:ascii="Times New Roman" w:eastAsia="Times New Roman" w:hAnsi="Times New Roman" w:cs="Times New Roman"/>
          <w:bCs/>
          <w:color w:val="2F2F2F"/>
          <w:sz w:val="24"/>
          <w:szCs w:val="24"/>
          <w:lang w:val="ru-RU"/>
        </w:rPr>
        <w:t>О</w:t>
      </w:r>
      <w:r w:rsidR="00D46DAD" w:rsidRPr="00D46DAD">
        <w:rPr>
          <w:rFonts w:ascii="Times New Roman" w:eastAsia="Times New Roman" w:hAnsi="Times New Roman" w:cs="Times New Roman"/>
          <w:bCs/>
          <w:color w:val="2F2F2F"/>
          <w:sz w:val="24"/>
          <w:szCs w:val="24"/>
          <w:lang w:val="ru-RU"/>
        </w:rPr>
        <w:t>П, планов, программ и проектов</w:t>
      </w:r>
      <w:r w:rsidRPr="002353B9">
        <w:rPr>
          <w:rFonts w:ascii="Times New Roman" w:eastAsia="Times New Roman" w:hAnsi="Times New Roman" w:cs="Times New Roman"/>
          <w:bCs/>
          <w:color w:val="2F2F2F"/>
          <w:sz w:val="24"/>
          <w:szCs w:val="24"/>
          <w:lang w:val="ru-RU"/>
        </w:rPr>
        <w:t xml:space="preserve"> </w:t>
      </w:r>
      <w:r w:rsidRPr="00D46DAD">
        <w:rPr>
          <w:rFonts w:ascii="Times New Roman" w:eastAsia="Times New Roman" w:hAnsi="Times New Roman" w:cs="Times New Roman"/>
          <w:bCs/>
          <w:color w:val="2F2F2F"/>
          <w:sz w:val="24"/>
          <w:szCs w:val="24"/>
          <w:lang w:val="ru-RU"/>
        </w:rPr>
        <w:t>регионального развития</w:t>
      </w:r>
      <w:r w:rsidR="00D46DAD" w:rsidRPr="00D46DAD">
        <w:rPr>
          <w:rFonts w:ascii="Times New Roman" w:eastAsia="Times New Roman" w:hAnsi="Times New Roman" w:cs="Times New Roman"/>
          <w:bCs/>
          <w:color w:val="2F2F2F"/>
          <w:sz w:val="24"/>
          <w:szCs w:val="24"/>
          <w:lang w:val="ru-RU"/>
        </w:rPr>
        <w:t>;</w:t>
      </w:r>
    </w:p>
    <w:p w:rsidR="00D46DAD" w:rsidRPr="00D46DAD" w:rsidRDefault="002353B9"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осуществляет мониторинг и оценку реализации Р</w:t>
      </w:r>
      <w:r>
        <w:rPr>
          <w:rFonts w:ascii="Times New Roman" w:eastAsia="Times New Roman" w:hAnsi="Times New Roman" w:cs="Times New Roman"/>
          <w:bCs/>
          <w:color w:val="2F2F2F"/>
          <w:sz w:val="24"/>
          <w:szCs w:val="24"/>
          <w:lang w:val="ru-RU"/>
        </w:rPr>
        <w:t>О</w:t>
      </w:r>
      <w:r w:rsidR="00D46DAD" w:rsidRPr="00D46DAD">
        <w:rPr>
          <w:rFonts w:ascii="Times New Roman" w:eastAsia="Times New Roman" w:hAnsi="Times New Roman" w:cs="Times New Roman"/>
          <w:bCs/>
          <w:color w:val="2F2F2F"/>
          <w:sz w:val="24"/>
          <w:szCs w:val="24"/>
          <w:lang w:val="ru-RU"/>
        </w:rPr>
        <w:t>П, планов, программ и проектов</w:t>
      </w:r>
      <w:r w:rsidR="0088380C" w:rsidRPr="0088380C">
        <w:rPr>
          <w:rFonts w:ascii="Times New Roman" w:eastAsia="Times New Roman" w:hAnsi="Times New Roman" w:cs="Times New Roman"/>
          <w:bCs/>
          <w:color w:val="2F2F2F"/>
          <w:sz w:val="24"/>
          <w:szCs w:val="24"/>
          <w:lang w:val="ru-RU"/>
        </w:rPr>
        <w:t xml:space="preserve"> </w:t>
      </w:r>
      <w:r w:rsidR="0088380C" w:rsidRPr="00D46DAD">
        <w:rPr>
          <w:rFonts w:ascii="Times New Roman" w:eastAsia="Times New Roman" w:hAnsi="Times New Roman" w:cs="Times New Roman"/>
          <w:bCs/>
          <w:color w:val="2F2F2F"/>
          <w:sz w:val="24"/>
          <w:szCs w:val="24"/>
          <w:lang w:val="ru-RU"/>
        </w:rPr>
        <w:t>регионального развития</w:t>
      </w:r>
      <w:r w:rsidR="00D46DAD" w:rsidRPr="00D46DAD">
        <w:rPr>
          <w:rFonts w:ascii="Times New Roman" w:eastAsia="Times New Roman" w:hAnsi="Times New Roman" w:cs="Times New Roman"/>
          <w:bCs/>
          <w:color w:val="2F2F2F"/>
          <w:sz w:val="24"/>
          <w:szCs w:val="24"/>
          <w:lang w:val="ru-RU"/>
        </w:rPr>
        <w:t>;</w:t>
      </w:r>
    </w:p>
    <w:p w:rsidR="00D46DAD" w:rsidRPr="00D46DAD" w:rsidRDefault="0088380C"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 xml:space="preserve">представляет </w:t>
      </w:r>
      <w:r w:rsidR="002353B9">
        <w:rPr>
          <w:rFonts w:ascii="Times New Roman" w:eastAsia="Times New Roman" w:hAnsi="Times New Roman" w:cs="Times New Roman"/>
          <w:bCs/>
          <w:color w:val="2F2F2F"/>
          <w:sz w:val="24"/>
          <w:szCs w:val="24"/>
          <w:lang w:val="ru-RU"/>
        </w:rPr>
        <w:t>Совету</w:t>
      </w:r>
      <w:r w:rsidR="00D46DAD" w:rsidRPr="00D46DAD">
        <w:rPr>
          <w:rFonts w:ascii="Times New Roman" w:eastAsia="Times New Roman" w:hAnsi="Times New Roman" w:cs="Times New Roman"/>
          <w:bCs/>
          <w:color w:val="2F2F2F"/>
          <w:sz w:val="24"/>
          <w:szCs w:val="24"/>
          <w:lang w:val="ru-RU"/>
        </w:rPr>
        <w:t xml:space="preserve"> регионального развития </w:t>
      </w:r>
      <w:r w:rsidR="002353B9">
        <w:rPr>
          <w:rFonts w:ascii="Times New Roman" w:eastAsia="Times New Roman" w:hAnsi="Times New Roman" w:cs="Times New Roman"/>
          <w:bCs/>
          <w:color w:val="2F2F2F"/>
          <w:sz w:val="24"/>
          <w:szCs w:val="24"/>
          <w:lang w:val="ru-RU"/>
        </w:rPr>
        <w:t>АТО Гагаузия</w:t>
      </w:r>
      <w:r w:rsidR="00D46DAD" w:rsidRPr="00D46DAD">
        <w:rPr>
          <w:rFonts w:ascii="Times New Roman" w:eastAsia="Times New Roman" w:hAnsi="Times New Roman" w:cs="Times New Roman"/>
          <w:bCs/>
          <w:color w:val="2F2F2F"/>
          <w:sz w:val="24"/>
          <w:szCs w:val="24"/>
          <w:lang w:val="ru-RU"/>
        </w:rPr>
        <w:t xml:space="preserve"> и </w:t>
      </w:r>
      <w:r w:rsidR="002353B9">
        <w:rPr>
          <w:rFonts w:ascii="Times New Roman" w:eastAsia="Times New Roman" w:hAnsi="Times New Roman" w:cs="Times New Roman"/>
          <w:bCs/>
          <w:color w:val="2F2F2F"/>
          <w:sz w:val="24"/>
          <w:szCs w:val="24"/>
          <w:lang w:val="ru-RU"/>
        </w:rPr>
        <w:t>МИРР</w:t>
      </w:r>
      <w:r w:rsidR="00D46DAD" w:rsidRPr="00D46DAD">
        <w:rPr>
          <w:rFonts w:ascii="Times New Roman" w:eastAsia="Times New Roman" w:hAnsi="Times New Roman" w:cs="Times New Roman"/>
          <w:bCs/>
          <w:color w:val="2F2F2F"/>
          <w:sz w:val="24"/>
          <w:szCs w:val="24"/>
          <w:lang w:val="ru-RU"/>
        </w:rPr>
        <w:t xml:space="preserve"> полугодовые/годовые отчеты о реализации Р</w:t>
      </w:r>
      <w:r w:rsidR="002353B9">
        <w:rPr>
          <w:rFonts w:ascii="Times New Roman" w:eastAsia="Times New Roman" w:hAnsi="Times New Roman" w:cs="Times New Roman"/>
          <w:bCs/>
          <w:color w:val="2F2F2F"/>
          <w:sz w:val="24"/>
          <w:szCs w:val="24"/>
          <w:lang w:val="ru-RU"/>
        </w:rPr>
        <w:t>О</w:t>
      </w:r>
      <w:r w:rsidR="00D46DAD" w:rsidRPr="00D46DAD">
        <w:rPr>
          <w:rFonts w:ascii="Times New Roman" w:eastAsia="Times New Roman" w:hAnsi="Times New Roman" w:cs="Times New Roman"/>
          <w:bCs/>
          <w:color w:val="2F2F2F"/>
          <w:sz w:val="24"/>
          <w:szCs w:val="24"/>
          <w:lang w:val="ru-RU"/>
        </w:rPr>
        <w:t>П;</w:t>
      </w:r>
    </w:p>
    <w:p w:rsidR="00D46DAD" w:rsidRPr="00D46DAD" w:rsidRDefault="0088380C" w:rsidP="00342D2D">
      <w:pPr>
        <w:shd w:val="clear" w:color="auto" w:fill="FFFFFF"/>
        <w:spacing w:after="0" w:line="240" w:lineRule="auto"/>
        <w:ind w:left="284"/>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bCs/>
          <w:color w:val="2F2F2F"/>
          <w:sz w:val="24"/>
          <w:szCs w:val="24"/>
          <w:lang w:val="ru-RU"/>
        </w:rPr>
        <w:t xml:space="preserve">-  </w:t>
      </w:r>
      <w:r w:rsidR="00D46DAD" w:rsidRPr="00D46DAD">
        <w:rPr>
          <w:rFonts w:ascii="Times New Roman" w:eastAsia="Times New Roman" w:hAnsi="Times New Roman" w:cs="Times New Roman"/>
          <w:bCs/>
          <w:color w:val="2F2F2F"/>
          <w:sz w:val="24"/>
          <w:szCs w:val="24"/>
          <w:lang w:val="ru-RU"/>
        </w:rPr>
        <w:t>организует реализацию Р</w:t>
      </w:r>
      <w:r>
        <w:rPr>
          <w:rFonts w:ascii="Times New Roman" w:eastAsia="Times New Roman" w:hAnsi="Times New Roman" w:cs="Times New Roman"/>
          <w:bCs/>
          <w:color w:val="2F2F2F"/>
          <w:sz w:val="24"/>
          <w:szCs w:val="24"/>
          <w:lang w:val="ru-RU"/>
        </w:rPr>
        <w:t>О</w:t>
      </w:r>
      <w:r w:rsidR="00D46DAD" w:rsidRPr="00D46DAD">
        <w:rPr>
          <w:rFonts w:ascii="Times New Roman" w:eastAsia="Times New Roman" w:hAnsi="Times New Roman" w:cs="Times New Roman"/>
          <w:bCs/>
          <w:color w:val="2F2F2F"/>
          <w:sz w:val="24"/>
          <w:szCs w:val="24"/>
          <w:lang w:val="ru-RU"/>
        </w:rPr>
        <w:t xml:space="preserve">П и выделение </w:t>
      </w:r>
      <w:r w:rsidRPr="00D46DAD">
        <w:rPr>
          <w:rFonts w:ascii="Times New Roman" w:eastAsia="Times New Roman" w:hAnsi="Times New Roman" w:cs="Times New Roman"/>
          <w:bCs/>
          <w:color w:val="2F2F2F"/>
          <w:sz w:val="24"/>
          <w:szCs w:val="24"/>
          <w:lang w:val="ru-RU"/>
        </w:rPr>
        <w:t xml:space="preserve">для этих целей </w:t>
      </w:r>
      <w:r w:rsidR="00D46DAD" w:rsidRPr="00D46DAD">
        <w:rPr>
          <w:rFonts w:ascii="Times New Roman" w:eastAsia="Times New Roman" w:hAnsi="Times New Roman" w:cs="Times New Roman"/>
          <w:bCs/>
          <w:color w:val="2F2F2F"/>
          <w:sz w:val="24"/>
          <w:szCs w:val="24"/>
          <w:lang w:val="ru-RU"/>
        </w:rPr>
        <w:t xml:space="preserve">финансовых ресурсов из </w:t>
      </w:r>
      <w:r>
        <w:rPr>
          <w:rFonts w:ascii="Times New Roman" w:eastAsia="Times New Roman" w:hAnsi="Times New Roman" w:cs="Times New Roman"/>
          <w:bCs/>
          <w:color w:val="2F2F2F"/>
          <w:sz w:val="24"/>
          <w:szCs w:val="24"/>
          <w:lang w:val="ru-RU"/>
        </w:rPr>
        <w:t>Н</w:t>
      </w:r>
      <w:r w:rsidR="00D46DAD" w:rsidRPr="00D46DAD">
        <w:rPr>
          <w:rFonts w:ascii="Times New Roman" w:eastAsia="Times New Roman" w:hAnsi="Times New Roman" w:cs="Times New Roman"/>
          <w:bCs/>
          <w:color w:val="2F2F2F"/>
          <w:sz w:val="24"/>
          <w:szCs w:val="24"/>
          <w:lang w:val="ru-RU"/>
        </w:rPr>
        <w:t>ФР</w:t>
      </w:r>
      <w:r>
        <w:rPr>
          <w:rFonts w:ascii="Times New Roman" w:eastAsia="Times New Roman" w:hAnsi="Times New Roman" w:cs="Times New Roman"/>
          <w:bCs/>
          <w:color w:val="2F2F2F"/>
          <w:sz w:val="24"/>
          <w:szCs w:val="24"/>
          <w:lang w:val="ru-RU"/>
        </w:rPr>
        <w:t>МР.</w:t>
      </w:r>
    </w:p>
    <w:p w:rsidR="00D46DAD" w:rsidRPr="00D46DAD" w:rsidRDefault="00D46DAD"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D46DAD">
        <w:rPr>
          <w:rFonts w:ascii="Times New Roman" w:eastAsia="Times New Roman" w:hAnsi="Times New Roman" w:cs="Times New Roman"/>
          <w:bCs/>
          <w:color w:val="2F2F2F"/>
          <w:sz w:val="24"/>
          <w:szCs w:val="24"/>
          <w:lang w:val="ru-RU"/>
        </w:rPr>
        <w:lastRenderedPageBreak/>
        <w:t xml:space="preserve">Проекты и мероприятия, включенные в План реализации программы развития Гагаузии, финансируются в основном из средств </w:t>
      </w:r>
      <w:r w:rsidR="0088380C">
        <w:rPr>
          <w:rFonts w:ascii="Times New Roman" w:eastAsia="Times New Roman" w:hAnsi="Times New Roman" w:cs="Times New Roman"/>
          <w:bCs/>
          <w:color w:val="2F2F2F"/>
          <w:sz w:val="24"/>
          <w:szCs w:val="24"/>
          <w:lang w:val="ru-RU"/>
        </w:rPr>
        <w:t>Н</w:t>
      </w:r>
      <w:r w:rsidR="0088380C" w:rsidRPr="00D46DAD">
        <w:rPr>
          <w:rFonts w:ascii="Times New Roman" w:eastAsia="Times New Roman" w:hAnsi="Times New Roman" w:cs="Times New Roman"/>
          <w:bCs/>
          <w:color w:val="2F2F2F"/>
          <w:sz w:val="24"/>
          <w:szCs w:val="24"/>
          <w:lang w:val="ru-RU"/>
        </w:rPr>
        <w:t>ФР</w:t>
      </w:r>
      <w:r w:rsidR="0088380C">
        <w:rPr>
          <w:rFonts w:ascii="Times New Roman" w:eastAsia="Times New Roman" w:hAnsi="Times New Roman" w:cs="Times New Roman"/>
          <w:bCs/>
          <w:color w:val="2F2F2F"/>
          <w:sz w:val="24"/>
          <w:szCs w:val="24"/>
          <w:lang w:val="ru-RU"/>
        </w:rPr>
        <w:t>МР</w:t>
      </w:r>
      <w:r w:rsidRPr="00D46DAD">
        <w:rPr>
          <w:rFonts w:ascii="Times New Roman" w:eastAsia="Times New Roman" w:hAnsi="Times New Roman" w:cs="Times New Roman"/>
          <w:bCs/>
          <w:color w:val="2F2F2F"/>
          <w:sz w:val="24"/>
          <w:szCs w:val="24"/>
          <w:lang w:val="ru-RU"/>
        </w:rPr>
        <w:t xml:space="preserve">, а также из внешних источников в соответствии с национальными нормативными актами и механизмами внешнего сотрудничества. Инвестиционные проекты, финансируемые из </w:t>
      </w:r>
      <w:r w:rsidR="0088380C">
        <w:rPr>
          <w:rFonts w:ascii="Times New Roman" w:eastAsia="Times New Roman" w:hAnsi="Times New Roman" w:cs="Times New Roman"/>
          <w:bCs/>
          <w:color w:val="2F2F2F"/>
          <w:sz w:val="24"/>
          <w:szCs w:val="24"/>
          <w:lang w:val="ru-RU"/>
        </w:rPr>
        <w:t>Н</w:t>
      </w:r>
      <w:r w:rsidR="0088380C" w:rsidRPr="00D46DAD">
        <w:rPr>
          <w:rFonts w:ascii="Times New Roman" w:eastAsia="Times New Roman" w:hAnsi="Times New Roman" w:cs="Times New Roman"/>
          <w:bCs/>
          <w:color w:val="2F2F2F"/>
          <w:sz w:val="24"/>
          <w:szCs w:val="24"/>
          <w:lang w:val="ru-RU"/>
        </w:rPr>
        <w:t>ФР</w:t>
      </w:r>
      <w:r w:rsidR="0088380C">
        <w:rPr>
          <w:rFonts w:ascii="Times New Roman" w:eastAsia="Times New Roman" w:hAnsi="Times New Roman" w:cs="Times New Roman"/>
          <w:bCs/>
          <w:color w:val="2F2F2F"/>
          <w:sz w:val="24"/>
          <w:szCs w:val="24"/>
          <w:lang w:val="ru-RU"/>
        </w:rPr>
        <w:t>МР</w:t>
      </w:r>
      <w:r w:rsidRPr="00D46DAD">
        <w:rPr>
          <w:rFonts w:ascii="Times New Roman" w:eastAsia="Times New Roman" w:hAnsi="Times New Roman" w:cs="Times New Roman"/>
          <w:bCs/>
          <w:color w:val="2F2F2F"/>
          <w:sz w:val="24"/>
          <w:szCs w:val="24"/>
          <w:lang w:val="ru-RU"/>
        </w:rPr>
        <w:t xml:space="preserve">, были отобраны в рамках конкурсных отборов и по </w:t>
      </w:r>
      <w:r w:rsidR="0088380C" w:rsidRPr="00D46DAD">
        <w:rPr>
          <w:rFonts w:ascii="Times New Roman" w:eastAsia="Times New Roman" w:hAnsi="Times New Roman" w:cs="Times New Roman"/>
          <w:bCs/>
          <w:color w:val="2F2F2F"/>
          <w:sz w:val="24"/>
          <w:szCs w:val="24"/>
          <w:lang w:val="ru-RU"/>
        </w:rPr>
        <w:t xml:space="preserve">списку, </w:t>
      </w:r>
      <w:r w:rsidR="0088380C">
        <w:rPr>
          <w:rFonts w:ascii="Times New Roman" w:eastAsia="Times New Roman" w:hAnsi="Times New Roman" w:cs="Times New Roman"/>
          <w:bCs/>
          <w:color w:val="2F2F2F"/>
          <w:sz w:val="24"/>
          <w:szCs w:val="24"/>
          <w:lang w:val="ru-RU"/>
        </w:rPr>
        <w:t xml:space="preserve">проводимых </w:t>
      </w:r>
      <w:r w:rsidR="0088380C" w:rsidRPr="00D46DAD">
        <w:rPr>
          <w:rFonts w:ascii="Times New Roman" w:eastAsia="Times New Roman" w:hAnsi="Times New Roman" w:cs="Times New Roman"/>
          <w:bCs/>
          <w:color w:val="2F2F2F"/>
          <w:sz w:val="24"/>
          <w:szCs w:val="24"/>
          <w:lang w:val="ru-RU"/>
        </w:rPr>
        <w:t>МИРР</w:t>
      </w:r>
      <w:r w:rsidRPr="00D46DAD">
        <w:rPr>
          <w:rFonts w:ascii="Times New Roman" w:eastAsia="Times New Roman" w:hAnsi="Times New Roman" w:cs="Times New Roman"/>
          <w:bCs/>
          <w:color w:val="2F2F2F"/>
          <w:sz w:val="24"/>
          <w:szCs w:val="24"/>
          <w:lang w:val="ru-RU"/>
        </w:rPr>
        <w:t>.</w:t>
      </w:r>
    </w:p>
    <w:p w:rsidR="00D46DAD" w:rsidRPr="00D46DAD" w:rsidRDefault="00D46DAD"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D46DAD">
        <w:rPr>
          <w:rFonts w:ascii="Times New Roman" w:eastAsia="Times New Roman" w:hAnsi="Times New Roman" w:cs="Times New Roman"/>
          <w:bCs/>
          <w:color w:val="2F2F2F"/>
          <w:sz w:val="24"/>
          <w:szCs w:val="24"/>
          <w:lang w:val="ru-RU"/>
        </w:rPr>
        <w:t xml:space="preserve">Таким образом, ответственность за реализацию </w:t>
      </w:r>
      <w:r w:rsidR="0088380C">
        <w:rPr>
          <w:rFonts w:ascii="Times New Roman" w:eastAsia="Times New Roman" w:hAnsi="Times New Roman" w:cs="Times New Roman"/>
          <w:bCs/>
          <w:color w:val="2F2F2F"/>
          <w:sz w:val="24"/>
          <w:szCs w:val="24"/>
          <w:lang w:val="ru-RU"/>
        </w:rPr>
        <w:t>РОП АТО Гагаузия</w:t>
      </w:r>
      <w:r w:rsidRPr="00D46DAD">
        <w:rPr>
          <w:rFonts w:ascii="Times New Roman" w:eastAsia="Times New Roman" w:hAnsi="Times New Roman" w:cs="Times New Roman"/>
          <w:bCs/>
          <w:color w:val="2F2F2F"/>
          <w:sz w:val="24"/>
          <w:szCs w:val="24"/>
          <w:lang w:val="ru-RU"/>
        </w:rPr>
        <w:t xml:space="preserve"> лежит как на </w:t>
      </w:r>
      <w:r w:rsidR="0088380C">
        <w:rPr>
          <w:rFonts w:ascii="Times New Roman" w:eastAsia="Times New Roman" w:hAnsi="Times New Roman" w:cs="Times New Roman"/>
          <w:bCs/>
          <w:color w:val="2F2F2F"/>
          <w:sz w:val="24"/>
          <w:szCs w:val="24"/>
          <w:lang w:val="ru-RU"/>
        </w:rPr>
        <w:t>АРР</w:t>
      </w:r>
      <w:r w:rsidRPr="00D46DAD">
        <w:rPr>
          <w:rFonts w:ascii="Times New Roman" w:eastAsia="Times New Roman" w:hAnsi="Times New Roman" w:cs="Times New Roman"/>
          <w:bCs/>
          <w:color w:val="2F2F2F"/>
          <w:sz w:val="24"/>
          <w:szCs w:val="24"/>
          <w:lang w:val="ru-RU"/>
        </w:rPr>
        <w:t xml:space="preserve"> в </w:t>
      </w:r>
      <w:r w:rsidR="0088380C">
        <w:rPr>
          <w:rFonts w:ascii="Times New Roman" w:eastAsia="Times New Roman" w:hAnsi="Times New Roman" w:cs="Times New Roman"/>
          <w:bCs/>
          <w:color w:val="2F2F2F"/>
          <w:sz w:val="24"/>
          <w:szCs w:val="24"/>
          <w:lang w:val="ru-RU"/>
        </w:rPr>
        <w:t xml:space="preserve">соответствии с обязательствами, </w:t>
      </w:r>
      <w:r w:rsidRPr="00D46DAD">
        <w:rPr>
          <w:rFonts w:ascii="Times New Roman" w:eastAsia="Times New Roman" w:hAnsi="Times New Roman" w:cs="Times New Roman"/>
          <w:bCs/>
          <w:color w:val="2F2F2F"/>
          <w:sz w:val="24"/>
          <w:szCs w:val="24"/>
          <w:lang w:val="ru-RU"/>
        </w:rPr>
        <w:t xml:space="preserve">перенесенными в </w:t>
      </w:r>
      <w:r w:rsidR="00E31A6B">
        <w:rPr>
          <w:rFonts w:ascii="Times New Roman" w:eastAsia="Times New Roman" w:hAnsi="Times New Roman" w:cs="Times New Roman"/>
          <w:bCs/>
          <w:color w:val="2F2F2F"/>
          <w:sz w:val="24"/>
          <w:szCs w:val="24"/>
          <w:lang w:val="ru-RU"/>
        </w:rPr>
        <w:t>ежегодный План деятельности АРР</w:t>
      </w:r>
      <w:r w:rsidRPr="00D46DAD">
        <w:rPr>
          <w:rFonts w:ascii="Times New Roman" w:eastAsia="Times New Roman" w:hAnsi="Times New Roman" w:cs="Times New Roman"/>
          <w:bCs/>
          <w:color w:val="2F2F2F"/>
          <w:sz w:val="24"/>
          <w:szCs w:val="24"/>
          <w:lang w:val="ru-RU"/>
        </w:rPr>
        <w:t>, так и на государственных органах, учр</w:t>
      </w:r>
      <w:r w:rsidR="0088380C">
        <w:rPr>
          <w:rFonts w:ascii="Times New Roman" w:eastAsia="Times New Roman" w:hAnsi="Times New Roman" w:cs="Times New Roman"/>
          <w:bCs/>
          <w:color w:val="2F2F2F"/>
          <w:sz w:val="24"/>
          <w:szCs w:val="24"/>
          <w:lang w:val="ru-RU"/>
        </w:rPr>
        <w:t xml:space="preserve">еждениях, организациях и других </w:t>
      </w:r>
      <w:r w:rsidRPr="00D46DAD">
        <w:rPr>
          <w:rFonts w:ascii="Times New Roman" w:eastAsia="Times New Roman" w:hAnsi="Times New Roman" w:cs="Times New Roman"/>
          <w:bCs/>
          <w:color w:val="2F2F2F"/>
          <w:sz w:val="24"/>
          <w:szCs w:val="24"/>
          <w:lang w:val="ru-RU"/>
        </w:rPr>
        <w:t xml:space="preserve">институциональных структурах, установленных в </w:t>
      </w:r>
      <w:r w:rsidR="0088380C">
        <w:rPr>
          <w:rFonts w:ascii="Times New Roman" w:eastAsia="Times New Roman" w:hAnsi="Times New Roman" w:cs="Times New Roman"/>
          <w:bCs/>
          <w:color w:val="2F2F2F"/>
          <w:sz w:val="24"/>
          <w:szCs w:val="24"/>
          <w:lang w:val="ru-RU"/>
        </w:rPr>
        <w:t>РОП АТО Гагаузия</w:t>
      </w:r>
      <w:r w:rsidR="0088380C" w:rsidRPr="00D46DAD">
        <w:rPr>
          <w:rFonts w:ascii="Times New Roman" w:eastAsia="Times New Roman" w:hAnsi="Times New Roman" w:cs="Times New Roman"/>
          <w:bCs/>
          <w:color w:val="2F2F2F"/>
          <w:sz w:val="24"/>
          <w:szCs w:val="24"/>
          <w:lang w:val="ru-RU"/>
        </w:rPr>
        <w:t xml:space="preserve"> </w:t>
      </w:r>
      <w:r w:rsidRPr="00D46DAD">
        <w:rPr>
          <w:rFonts w:ascii="Times New Roman" w:eastAsia="Times New Roman" w:hAnsi="Times New Roman" w:cs="Times New Roman"/>
          <w:bCs/>
          <w:color w:val="2F2F2F"/>
          <w:sz w:val="24"/>
          <w:szCs w:val="24"/>
          <w:lang w:val="ru-RU"/>
        </w:rPr>
        <w:t xml:space="preserve">в качестве ответственных за реализацию проектов, мероприятий и действий, предусмотренных в Плане реализации </w:t>
      </w:r>
      <w:r w:rsidR="0088380C">
        <w:rPr>
          <w:rFonts w:ascii="Times New Roman" w:eastAsia="Times New Roman" w:hAnsi="Times New Roman" w:cs="Times New Roman"/>
          <w:bCs/>
          <w:color w:val="2F2F2F"/>
          <w:sz w:val="24"/>
          <w:szCs w:val="24"/>
          <w:lang w:val="ru-RU"/>
        </w:rPr>
        <w:t>РОП.</w:t>
      </w:r>
    </w:p>
    <w:p w:rsidR="008D1CF1" w:rsidRDefault="008D1CF1" w:rsidP="008D1CF1">
      <w:pPr>
        <w:shd w:val="clear" w:color="auto" w:fill="FFFFFF"/>
        <w:spacing w:before="240" w:after="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rPr>
        <w:t>IX</w:t>
      </w:r>
      <w:r w:rsidRPr="008558B6">
        <w:rPr>
          <w:rFonts w:ascii="Times New Roman" w:eastAsia="Times New Roman" w:hAnsi="Times New Roman" w:cs="Times New Roman"/>
          <w:b/>
          <w:bCs/>
          <w:color w:val="2F2F2F"/>
          <w:sz w:val="24"/>
          <w:szCs w:val="24"/>
          <w:lang w:val="ru-RU"/>
        </w:rPr>
        <w:t>. ОРГАНИЗАЦИЯ ПРОЦЕССА МОНИТОРИНГА И ОТЧЕТНОСТИ</w:t>
      </w:r>
    </w:p>
    <w:p w:rsidR="00E31A6B" w:rsidRPr="00E31A6B" w:rsidRDefault="00E31A6B" w:rsidP="0075428B">
      <w:pPr>
        <w:shd w:val="clear" w:color="auto" w:fill="FFFFFF"/>
        <w:spacing w:before="240" w:after="0" w:line="240" w:lineRule="auto"/>
        <w:ind w:firstLine="567"/>
        <w:jc w:val="both"/>
        <w:rPr>
          <w:rFonts w:ascii="Times New Roman" w:eastAsia="Times New Roman" w:hAnsi="Times New Roman" w:cs="Times New Roman"/>
          <w:b/>
          <w:bCs/>
          <w:color w:val="2F2F2F"/>
          <w:sz w:val="24"/>
          <w:szCs w:val="24"/>
          <w:lang w:val="ru-RU"/>
        </w:rPr>
      </w:pPr>
      <w:r w:rsidRPr="00E31A6B">
        <w:rPr>
          <w:rFonts w:ascii="Times New Roman" w:eastAsia="Times New Roman" w:hAnsi="Times New Roman" w:cs="Times New Roman"/>
          <w:bCs/>
          <w:color w:val="2F2F2F"/>
          <w:sz w:val="24"/>
          <w:szCs w:val="24"/>
          <w:lang w:val="ru-RU"/>
        </w:rPr>
        <w:t xml:space="preserve">Мониторинг реализации </w:t>
      </w:r>
      <w:r>
        <w:rPr>
          <w:rFonts w:ascii="Times New Roman" w:eastAsia="Times New Roman" w:hAnsi="Times New Roman" w:cs="Times New Roman"/>
          <w:bCs/>
          <w:color w:val="2F2F2F"/>
          <w:sz w:val="24"/>
          <w:szCs w:val="24"/>
          <w:lang w:val="ru-RU"/>
        </w:rPr>
        <w:t>РОП АТО Гагаузия</w:t>
      </w:r>
      <w:r w:rsidRPr="00E31A6B">
        <w:rPr>
          <w:rFonts w:ascii="Times New Roman" w:eastAsia="Times New Roman" w:hAnsi="Times New Roman" w:cs="Times New Roman"/>
          <w:bCs/>
          <w:color w:val="2F2F2F"/>
          <w:sz w:val="24"/>
          <w:szCs w:val="24"/>
          <w:lang w:val="ru-RU"/>
        </w:rPr>
        <w:t xml:space="preserve"> осуществляется в соответствии с положениями национального законодательства, действующей нормативно-правовой базы и утвержденными методическими документами</w:t>
      </w:r>
      <w:r w:rsidR="0075428B">
        <w:rPr>
          <w:rFonts w:ascii="Times New Roman" w:eastAsia="Times New Roman" w:hAnsi="Times New Roman" w:cs="Times New Roman"/>
          <w:bCs/>
          <w:color w:val="2F2F2F"/>
          <w:sz w:val="24"/>
          <w:szCs w:val="24"/>
          <w:lang w:val="ru-RU"/>
        </w:rPr>
        <w:t>,</w:t>
      </w:r>
      <w:r w:rsidRPr="00E31A6B">
        <w:rPr>
          <w:rFonts w:ascii="Times New Roman" w:eastAsia="Times New Roman" w:hAnsi="Times New Roman" w:cs="Times New Roman"/>
          <w:bCs/>
          <w:color w:val="2F2F2F"/>
          <w:sz w:val="24"/>
          <w:szCs w:val="24"/>
          <w:lang w:val="ru-RU"/>
        </w:rPr>
        <w:t xml:space="preserve"> с целью систематического сбора, анализа и отчетности о прогрессе, достигнутом в реализации политики регионального развития</w:t>
      </w:r>
      <w:r w:rsidRPr="00E31A6B">
        <w:rPr>
          <w:rFonts w:ascii="Times New Roman" w:eastAsia="Times New Roman" w:hAnsi="Times New Roman" w:cs="Times New Roman"/>
          <w:b/>
          <w:bCs/>
          <w:color w:val="2F2F2F"/>
          <w:sz w:val="24"/>
          <w:szCs w:val="24"/>
          <w:lang w:val="ru-RU"/>
        </w:rPr>
        <w:t>.</w:t>
      </w:r>
    </w:p>
    <w:p w:rsidR="00A03A37" w:rsidRPr="00A03A37" w:rsidRDefault="00E31A6B"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 xml:space="preserve">Мониторинг и отчетность по реализации РОП АТО Гагаузия осуществляются в соответствии со следующим графиком: - Полугодовой отчет о реализации </w:t>
      </w:r>
      <w:r w:rsidR="00A03A37">
        <w:rPr>
          <w:rFonts w:ascii="Times New Roman" w:eastAsia="Times New Roman" w:hAnsi="Times New Roman" w:cs="Times New Roman"/>
          <w:bCs/>
          <w:color w:val="2F2F2F"/>
          <w:sz w:val="24"/>
          <w:szCs w:val="24"/>
          <w:lang w:val="ru-RU"/>
        </w:rPr>
        <w:t>РОП АТО Гагаузия</w:t>
      </w:r>
      <w:r w:rsidR="00A03A37" w:rsidRPr="00E31A6B">
        <w:rPr>
          <w:rFonts w:ascii="Times New Roman" w:eastAsia="Times New Roman" w:hAnsi="Times New Roman" w:cs="Times New Roman"/>
          <w:bCs/>
          <w:color w:val="2F2F2F"/>
          <w:sz w:val="24"/>
          <w:szCs w:val="24"/>
          <w:lang w:val="ru-RU"/>
        </w:rPr>
        <w:t xml:space="preserve"> </w:t>
      </w:r>
      <w:r w:rsidR="00A03A37">
        <w:rPr>
          <w:rFonts w:ascii="Times New Roman" w:eastAsia="Times New Roman" w:hAnsi="Times New Roman" w:cs="Times New Roman"/>
          <w:bCs/>
          <w:color w:val="2F2F2F"/>
          <w:sz w:val="24"/>
          <w:szCs w:val="24"/>
          <w:lang w:val="ru-RU"/>
        </w:rPr>
        <w:t xml:space="preserve">–утверждается РСР АТО Гагаузия и </w:t>
      </w:r>
      <w:r w:rsidR="00A03A37" w:rsidRPr="00A03A37">
        <w:rPr>
          <w:rFonts w:ascii="Times New Roman" w:eastAsia="Times New Roman" w:hAnsi="Times New Roman" w:cs="Times New Roman"/>
          <w:bCs/>
          <w:color w:val="2F2F2F"/>
          <w:sz w:val="24"/>
          <w:szCs w:val="24"/>
          <w:lang w:val="ru-RU"/>
        </w:rPr>
        <w:t>представляется</w:t>
      </w:r>
      <w:r w:rsidRPr="00A03A37">
        <w:rPr>
          <w:rFonts w:ascii="Times New Roman" w:eastAsia="Times New Roman" w:hAnsi="Times New Roman" w:cs="Times New Roman"/>
          <w:bCs/>
          <w:color w:val="2F2F2F"/>
          <w:sz w:val="24"/>
          <w:szCs w:val="24"/>
          <w:lang w:val="ru-RU"/>
        </w:rPr>
        <w:t xml:space="preserve"> в </w:t>
      </w:r>
      <w:r w:rsidR="00A03A37">
        <w:rPr>
          <w:rFonts w:ascii="Times New Roman" w:eastAsia="Times New Roman" w:hAnsi="Times New Roman" w:cs="Times New Roman"/>
          <w:bCs/>
          <w:color w:val="2F2F2F"/>
          <w:sz w:val="24"/>
          <w:szCs w:val="24"/>
          <w:lang w:val="ru-RU"/>
        </w:rPr>
        <w:t xml:space="preserve">МИРР </w:t>
      </w:r>
      <w:r w:rsidRPr="00A03A37">
        <w:rPr>
          <w:rFonts w:ascii="Times New Roman" w:eastAsia="Times New Roman" w:hAnsi="Times New Roman" w:cs="Times New Roman"/>
          <w:bCs/>
          <w:color w:val="2F2F2F"/>
          <w:sz w:val="24"/>
          <w:szCs w:val="24"/>
          <w:lang w:val="ru-RU"/>
        </w:rPr>
        <w:t>до 31 июля текущего года; - Годовой отчет о реализации Плана регионального развития Гагаузии - представляется до 1 марта следующего года.</w:t>
      </w:r>
      <w:r w:rsidR="00A03A37" w:rsidRPr="00A03A37">
        <w:rPr>
          <w:rFonts w:ascii="Times New Roman" w:eastAsia="Times New Roman" w:hAnsi="Times New Roman" w:cs="Times New Roman"/>
          <w:bCs/>
          <w:color w:val="2F2F2F"/>
          <w:sz w:val="24"/>
          <w:szCs w:val="24"/>
          <w:lang w:val="ru-RU"/>
        </w:rPr>
        <w:t xml:space="preserve"> Показатели мониторинга определяются в нача</w:t>
      </w:r>
      <w:r w:rsidR="00A03A37">
        <w:rPr>
          <w:rFonts w:ascii="Times New Roman" w:eastAsia="Times New Roman" w:hAnsi="Times New Roman" w:cs="Times New Roman"/>
          <w:bCs/>
          <w:color w:val="2F2F2F"/>
          <w:sz w:val="24"/>
          <w:szCs w:val="24"/>
          <w:lang w:val="ru-RU"/>
        </w:rPr>
        <w:t xml:space="preserve">ле каждого программного периода и </w:t>
      </w:r>
      <w:r w:rsidR="00A03A37" w:rsidRPr="00A03A37">
        <w:rPr>
          <w:rFonts w:ascii="Times New Roman" w:eastAsia="Times New Roman" w:hAnsi="Times New Roman" w:cs="Times New Roman"/>
          <w:bCs/>
          <w:color w:val="2F2F2F"/>
          <w:sz w:val="24"/>
          <w:szCs w:val="24"/>
          <w:lang w:val="ru-RU"/>
        </w:rPr>
        <w:t xml:space="preserve">будут представлены, в том числе, на правительственной платформе </w:t>
      </w:r>
      <w:hyperlink r:id="rId50" w:history="1">
        <w:r w:rsidR="00A03A37" w:rsidRPr="00A371A8">
          <w:rPr>
            <w:rStyle w:val="af0"/>
            <w:rFonts w:ascii="Times New Roman" w:eastAsia="Times New Roman" w:hAnsi="Times New Roman" w:cs="Times New Roman"/>
            <w:bCs/>
            <w:sz w:val="24"/>
            <w:szCs w:val="24"/>
            <w:lang w:val="ru-RU"/>
          </w:rPr>
          <w:t>www.project.gov.md</w:t>
        </w:r>
      </w:hyperlink>
      <w:r w:rsidR="00A03A37">
        <w:rPr>
          <w:rFonts w:ascii="Times New Roman" w:eastAsia="Times New Roman" w:hAnsi="Times New Roman" w:cs="Times New Roman"/>
          <w:bCs/>
          <w:color w:val="2F2F2F"/>
          <w:sz w:val="24"/>
          <w:szCs w:val="24"/>
          <w:lang w:val="ru-RU"/>
        </w:rPr>
        <w:t xml:space="preserve"> </w:t>
      </w:r>
      <w:r w:rsidR="00A03A37" w:rsidRPr="00A03A37">
        <w:rPr>
          <w:rFonts w:ascii="Times New Roman" w:eastAsia="Times New Roman" w:hAnsi="Times New Roman" w:cs="Times New Roman"/>
          <w:bCs/>
          <w:color w:val="2F2F2F"/>
          <w:sz w:val="24"/>
          <w:szCs w:val="24"/>
          <w:lang w:val="ru-RU"/>
        </w:rPr>
        <w:t>.</w:t>
      </w:r>
    </w:p>
    <w:p w:rsidR="00E31A6B" w:rsidRPr="00A03A37" w:rsidRDefault="00E31A6B"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 xml:space="preserve">Мониторинг реализации </w:t>
      </w:r>
      <w:r w:rsidR="00A03A37" w:rsidRPr="00A03A37">
        <w:rPr>
          <w:rFonts w:ascii="Times New Roman" w:eastAsia="Times New Roman" w:hAnsi="Times New Roman" w:cs="Times New Roman"/>
          <w:bCs/>
          <w:color w:val="2F2F2F"/>
          <w:sz w:val="24"/>
          <w:szCs w:val="24"/>
          <w:lang w:val="ru-RU"/>
        </w:rPr>
        <w:t xml:space="preserve">РОП АТО Гагаузия осуществляется </w:t>
      </w:r>
      <w:r w:rsidR="00A03A37">
        <w:rPr>
          <w:rFonts w:ascii="Times New Roman" w:eastAsia="Times New Roman" w:hAnsi="Times New Roman" w:cs="Times New Roman"/>
          <w:bCs/>
          <w:color w:val="2F2F2F"/>
          <w:sz w:val="24"/>
          <w:szCs w:val="24"/>
          <w:lang w:val="ru-RU"/>
        </w:rPr>
        <w:t xml:space="preserve">отделом мониторинга и оценки </w:t>
      </w:r>
      <w:r w:rsidRPr="00A03A37">
        <w:rPr>
          <w:rFonts w:ascii="Times New Roman" w:eastAsia="Times New Roman" w:hAnsi="Times New Roman" w:cs="Times New Roman"/>
          <w:bCs/>
          <w:color w:val="2F2F2F"/>
          <w:sz w:val="24"/>
          <w:szCs w:val="24"/>
          <w:lang w:val="ru-RU"/>
        </w:rPr>
        <w:t xml:space="preserve">в рамках </w:t>
      </w:r>
      <w:r w:rsidR="00A03A37">
        <w:rPr>
          <w:rFonts w:ascii="Times New Roman" w:eastAsia="Times New Roman" w:hAnsi="Times New Roman" w:cs="Times New Roman"/>
          <w:bCs/>
          <w:color w:val="2F2F2F"/>
          <w:sz w:val="24"/>
          <w:szCs w:val="24"/>
          <w:lang w:val="ru-RU"/>
        </w:rPr>
        <w:t>АРР АТО Гагаузия</w:t>
      </w:r>
      <w:r w:rsidRPr="00A03A37">
        <w:rPr>
          <w:rFonts w:ascii="Times New Roman" w:eastAsia="Times New Roman" w:hAnsi="Times New Roman" w:cs="Times New Roman"/>
          <w:bCs/>
          <w:color w:val="2F2F2F"/>
          <w:sz w:val="24"/>
          <w:szCs w:val="24"/>
          <w:lang w:val="ru-RU"/>
        </w:rPr>
        <w:t>, и проводится на двух уровнях: стратегическом и оперативном.</w:t>
      </w:r>
    </w:p>
    <w:p w:rsidR="00E31A6B" w:rsidRPr="00A03A37" w:rsidRDefault="00E31A6B" w:rsidP="0075428B">
      <w:pPr>
        <w:shd w:val="clear" w:color="auto" w:fill="FFFFFF"/>
        <w:spacing w:before="240" w:after="0" w:line="240" w:lineRule="auto"/>
        <w:ind w:left="709"/>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 xml:space="preserve">1. Мониторинг политики регионального развития – в соответствии с Инструкцией </w:t>
      </w:r>
      <w:r w:rsidR="00A03A37">
        <w:rPr>
          <w:rFonts w:ascii="Times New Roman" w:eastAsia="Times New Roman" w:hAnsi="Times New Roman" w:cs="Times New Roman"/>
          <w:bCs/>
          <w:color w:val="2F2F2F"/>
          <w:sz w:val="24"/>
          <w:szCs w:val="24"/>
          <w:lang w:val="ru-RU"/>
        </w:rPr>
        <w:t>по мониторингу и оценке политик</w:t>
      </w:r>
      <w:r w:rsidRPr="00A03A37">
        <w:rPr>
          <w:rFonts w:ascii="Times New Roman" w:eastAsia="Times New Roman" w:hAnsi="Times New Roman" w:cs="Times New Roman"/>
          <w:bCs/>
          <w:color w:val="2F2F2F"/>
          <w:sz w:val="24"/>
          <w:szCs w:val="24"/>
          <w:lang w:val="ru-RU"/>
        </w:rPr>
        <w:t xml:space="preserve"> регионального развития, обеспечивающей сбор показателей эффективности на стратегическом уровне;</w:t>
      </w:r>
    </w:p>
    <w:p w:rsidR="00A03A37" w:rsidRPr="00A03A37" w:rsidRDefault="00E31A6B" w:rsidP="0075428B">
      <w:pPr>
        <w:shd w:val="clear" w:color="auto" w:fill="FFFFFF"/>
        <w:spacing w:before="240" w:after="0" w:line="240" w:lineRule="auto"/>
        <w:ind w:left="709"/>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2. Мониторинг проектов – регулируется Инструкцией по мониторингу и оценке реализации проектов регионального развития, направленной на оценку прогресса проектов, реализуемых за счет национального и внешнего финансирования.</w:t>
      </w:r>
    </w:p>
    <w:p w:rsidR="00E31A6B" w:rsidRPr="00A03A37" w:rsidRDefault="00E31A6B"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Отчетность и периодичность осуществляются в зависимости от специфики проектов</w:t>
      </w:r>
      <w:r w:rsidR="0075428B">
        <w:rPr>
          <w:rFonts w:ascii="Times New Roman" w:eastAsia="Times New Roman" w:hAnsi="Times New Roman" w:cs="Times New Roman"/>
          <w:bCs/>
          <w:color w:val="2F2F2F"/>
          <w:sz w:val="24"/>
          <w:szCs w:val="24"/>
          <w:lang w:val="ru-RU"/>
        </w:rPr>
        <w:t>,</w:t>
      </w:r>
      <w:r w:rsidRPr="00A03A37">
        <w:rPr>
          <w:rFonts w:ascii="Times New Roman" w:eastAsia="Times New Roman" w:hAnsi="Times New Roman" w:cs="Times New Roman"/>
          <w:bCs/>
          <w:color w:val="2F2F2F"/>
          <w:sz w:val="24"/>
          <w:szCs w:val="24"/>
          <w:lang w:val="ru-RU"/>
        </w:rPr>
        <w:t xml:space="preserve"> в соответствии с указаниями</w:t>
      </w:r>
      <w:r w:rsidR="00A03A37" w:rsidRPr="00A03A37">
        <w:rPr>
          <w:rFonts w:ascii="Times New Roman" w:eastAsia="Times New Roman" w:hAnsi="Times New Roman" w:cs="Times New Roman"/>
          <w:bCs/>
          <w:color w:val="2F2F2F"/>
          <w:sz w:val="24"/>
          <w:szCs w:val="24"/>
          <w:lang w:val="ru-RU"/>
        </w:rPr>
        <w:t xml:space="preserve"> Государственной канцелярии или </w:t>
      </w:r>
      <w:r w:rsidRPr="00A03A37">
        <w:rPr>
          <w:rFonts w:ascii="Times New Roman" w:eastAsia="Times New Roman" w:hAnsi="Times New Roman" w:cs="Times New Roman"/>
          <w:bCs/>
          <w:color w:val="2F2F2F"/>
          <w:sz w:val="24"/>
          <w:szCs w:val="24"/>
          <w:lang w:val="ru-RU"/>
        </w:rPr>
        <w:t>Министерства инфраструктуры и регионального развития.</w:t>
      </w:r>
    </w:p>
    <w:p w:rsidR="00E31A6B" w:rsidRPr="00A03A37" w:rsidRDefault="00E31A6B"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Процесс включает сбор данных, проверку, анализ, выявление рисков и формулирование рекомендаций.</w:t>
      </w:r>
    </w:p>
    <w:p w:rsidR="00E31A6B" w:rsidRDefault="00A03A37"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Заключительная оценка (</w:t>
      </w:r>
      <w:r w:rsidRPr="00A03A37">
        <w:t>ex</w:t>
      </w:r>
      <w:r w:rsidRPr="00A03A37">
        <w:rPr>
          <w:lang w:val="ru-RU"/>
        </w:rPr>
        <w:t>-</w:t>
      </w:r>
      <w:r w:rsidRPr="00A03A37">
        <w:t>post</w:t>
      </w:r>
      <w:r w:rsidRPr="00A03A37">
        <w:rPr>
          <w:lang w:val="ru-RU"/>
        </w:rPr>
        <w:t xml:space="preserve">) </w:t>
      </w:r>
      <w:r w:rsidRPr="00A03A37">
        <w:rPr>
          <w:rFonts w:ascii="Times New Roman" w:eastAsia="Times New Roman" w:hAnsi="Times New Roman" w:cs="Times New Roman"/>
          <w:bCs/>
          <w:color w:val="2F2F2F"/>
          <w:sz w:val="24"/>
          <w:szCs w:val="24"/>
          <w:lang w:val="ru-RU"/>
        </w:rPr>
        <w:t xml:space="preserve">реализации РОП </w:t>
      </w:r>
      <w:r w:rsidR="00E31A6B" w:rsidRPr="00A03A37">
        <w:rPr>
          <w:rFonts w:ascii="Times New Roman" w:eastAsia="Times New Roman" w:hAnsi="Times New Roman" w:cs="Times New Roman"/>
          <w:bCs/>
          <w:color w:val="2F2F2F"/>
          <w:sz w:val="24"/>
          <w:szCs w:val="24"/>
          <w:lang w:val="ru-RU"/>
        </w:rPr>
        <w:t>проводится по окончании программного периода и включает комплексный анализ результатов, полученных на уровне проекта и программы, в соответствии с применимыми методическими положениями.</w:t>
      </w:r>
    </w:p>
    <w:p w:rsidR="00544318" w:rsidRDefault="00544318" w:rsidP="0075428B">
      <w:pPr>
        <w:spacing w:after="0" w:line="240" w:lineRule="auto"/>
        <w:ind w:firstLine="567"/>
        <w:jc w:val="both"/>
        <w:rPr>
          <w:rFonts w:ascii="Times New Roman" w:eastAsia="Times New Roman" w:hAnsi="Times New Roman" w:cs="Times New Roman"/>
          <w:color w:val="161716"/>
          <w:sz w:val="24"/>
          <w:szCs w:val="24"/>
          <w:lang w:val="ru-RU"/>
        </w:rPr>
      </w:pPr>
      <w:r>
        <w:rPr>
          <w:rFonts w:ascii="Times New Roman" w:eastAsia="Times New Roman" w:hAnsi="Times New Roman" w:cs="Times New Roman"/>
          <w:color w:val="161716"/>
          <w:sz w:val="24"/>
          <w:szCs w:val="24"/>
          <w:lang w:val="ru-RU"/>
        </w:rPr>
        <w:t xml:space="preserve">Оценка реализации Региональной Операционной Программы </w:t>
      </w:r>
      <w:r>
        <w:rPr>
          <w:rFonts w:ascii="Times New Roman" w:eastAsia="Times New Roman" w:hAnsi="Times New Roman" w:cs="Times New Roman"/>
          <w:b/>
          <w:bCs/>
          <w:color w:val="000000"/>
          <w:sz w:val="24"/>
          <w:szCs w:val="24"/>
          <w:lang w:val="ru-RU"/>
        </w:rPr>
        <w:t>проводится для определения релевантности, эффективности, действенности, воздействия и устойчивости вмешательств, включенных в План внедрения РОП.</w:t>
      </w:r>
    </w:p>
    <w:p w:rsidR="00544318" w:rsidRPr="00A03A37" w:rsidRDefault="00544318"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Pr>
          <w:rFonts w:ascii="Times New Roman" w:eastAsia="Times New Roman" w:hAnsi="Times New Roman" w:cs="Times New Roman"/>
          <w:color w:val="161716"/>
          <w:sz w:val="24"/>
          <w:szCs w:val="24"/>
          <w:lang w:val="ru-RU"/>
        </w:rPr>
        <w:lastRenderedPageBreak/>
        <w:t xml:space="preserve">Оценка реализации </w:t>
      </w:r>
      <w:r>
        <w:rPr>
          <w:rFonts w:ascii="Times New Roman" w:eastAsia="Times New Roman" w:hAnsi="Times New Roman" w:cs="Times New Roman"/>
          <w:sz w:val="24"/>
          <w:szCs w:val="24"/>
          <w:lang w:val="ru-RU"/>
        </w:rPr>
        <w:t>РОП является незаменимым этапом, обеспечивающим необходимые предпосылки для оценки</w:t>
      </w:r>
      <w:r>
        <w:rPr>
          <w:rFonts w:ascii="Times New Roman" w:eastAsia="Times New Roman" w:hAnsi="Times New Roman" w:cs="Times New Roman"/>
          <w:color w:val="161716"/>
          <w:sz w:val="24"/>
          <w:szCs w:val="24"/>
          <w:lang w:val="ru-RU"/>
        </w:rPr>
        <w:t xml:space="preserve"> воздействия политики регионального развития (определенной в долгосрочной перспективе) на региональном уровне, централизации показателей эффективности, выявления проблем и недостатков в реализации политики, а также обобщения передовой практики и извлеченных уроков, которые будут приняты во внимание в следующем программном периоде.</w:t>
      </w:r>
    </w:p>
    <w:p w:rsidR="00E31A6B" w:rsidRPr="00A03A37" w:rsidRDefault="00E31A6B"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 xml:space="preserve">Процесс оценки может проводиться: - внутри организации, подразделением мониторинга и оценки в рамках </w:t>
      </w:r>
      <w:r w:rsidR="00A03A37">
        <w:rPr>
          <w:rFonts w:ascii="Times New Roman" w:eastAsia="Times New Roman" w:hAnsi="Times New Roman" w:cs="Times New Roman"/>
          <w:bCs/>
          <w:color w:val="2F2F2F"/>
          <w:sz w:val="24"/>
          <w:szCs w:val="24"/>
          <w:lang w:val="ru-RU"/>
        </w:rPr>
        <w:t>АРР АТО Гагаузия</w:t>
      </w:r>
      <w:r w:rsidRPr="00A03A37">
        <w:rPr>
          <w:rFonts w:ascii="Times New Roman" w:eastAsia="Times New Roman" w:hAnsi="Times New Roman" w:cs="Times New Roman"/>
          <w:bCs/>
          <w:color w:val="2F2F2F"/>
          <w:sz w:val="24"/>
          <w:szCs w:val="24"/>
          <w:lang w:val="ru-RU"/>
        </w:rPr>
        <w:t>, в сотрудничестве с другими соответствующими подразделениями; - внешними экспертами или независимыми организациями, в зависимости от сложности и масштаба программы.</w:t>
      </w:r>
    </w:p>
    <w:p w:rsidR="00E31A6B" w:rsidRPr="00A03A37" w:rsidRDefault="00E31A6B"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A03A37">
        <w:rPr>
          <w:rFonts w:ascii="Times New Roman" w:eastAsia="Times New Roman" w:hAnsi="Times New Roman" w:cs="Times New Roman"/>
          <w:bCs/>
          <w:color w:val="2F2F2F"/>
          <w:sz w:val="24"/>
          <w:szCs w:val="24"/>
          <w:lang w:val="ru-RU"/>
        </w:rPr>
        <w:t>Отчет об оценке</w:t>
      </w:r>
      <w:r w:rsidR="00A03A37">
        <w:rPr>
          <w:rFonts w:ascii="Times New Roman" w:eastAsia="Times New Roman" w:hAnsi="Times New Roman" w:cs="Times New Roman"/>
          <w:bCs/>
          <w:color w:val="2F2F2F"/>
          <w:sz w:val="24"/>
          <w:szCs w:val="24"/>
          <w:lang w:val="ru-RU"/>
        </w:rPr>
        <w:t xml:space="preserve"> </w:t>
      </w:r>
      <w:r w:rsidR="00A03A37" w:rsidRPr="00A03A37">
        <w:rPr>
          <w:rFonts w:ascii="Times New Roman" w:eastAsia="Times New Roman" w:hAnsi="Times New Roman" w:cs="Times New Roman"/>
          <w:bCs/>
          <w:color w:val="2F2F2F"/>
          <w:sz w:val="24"/>
          <w:szCs w:val="24"/>
          <w:lang w:val="ru-RU"/>
        </w:rPr>
        <w:t>(</w:t>
      </w:r>
      <w:r w:rsidR="00A03A37" w:rsidRPr="00A03A37">
        <w:t>ex</w:t>
      </w:r>
      <w:r w:rsidR="00A03A37" w:rsidRPr="00A03A37">
        <w:rPr>
          <w:lang w:val="ru-RU"/>
        </w:rPr>
        <w:t>-</w:t>
      </w:r>
      <w:r w:rsidR="00A03A37" w:rsidRPr="00A03A37">
        <w:t>post</w:t>
      </w:r>
      <w:r w:rsidR="00A03A37" w:rsidRPr="00A03A37">
        <w:rPr>
          <w:lang w:val="ru-RU"/>
        </w:rPr>
        <w:t xml:space="preserve">) </w:t>
      </w:r>
      <w:r w:rsidR="00A03A37" w:rsidRPr="00A03A37">
        <w:rPr>
          <w:rFonts w:ascii="Times New Roman" w:eastAsia="Times New Roman" w:hAnsi="Times New Roman" w:cs="Times New Roman"/>
          <w:bCs/>
          <w:color w:val="2F2F2F"/>
          <w:sz w:val="24"/>
          <w:szCs w:val="24"/>
          <w:lang w:val="ru-RU"/>
        </w:rPr>
        <w:t>утверждается</w:t>
      </w:r>
      <w:r w:rsidRPr="00A03A37">
        <w:rPr>
          <w:rFonts w:ascii="Times New Roman" w:eastAsia="Times New Roman" w:hAnsi="Times New Roman" w:cs="Times New Roman"/>
          <w:bCs/>
          <w:color w:val="2F2F2F"/>
          <w:sz w:val="24"/>
          <w:szCs w:val="24"/>
          <w:lang w:val="ru-RU"/>
        </w:rPr>
        <w:t xml:space="preserve"> директором </w:t>
      </w:r>
      <w:r w:rsidR="00E64644">
        <w:rPr>
          <w:rFonts w:ascii="Times New Roman" w:eastAsia="Times New Roman" w:hAnsi="Times New Roman" w:cs="Times New Roman"/>
          <w:bCs/>
          <w:color w:val="2F2F2F"/>
          <w:sz w:val="24"/>
          <w:szCs w:val="24"/>
          <w:lang w:val="ru-RU"/>
        </w:rPr>
        <w:t>АРР АТО Гагаузия</w:t>
      </w:r>
      <w:r w:rsidRPr="00A03A37">
        <w:rPr>
          <w:rFonts w:ascii="Times New Roman" w:eastAsia="Times New Roman" w:hAnsi="Times New Roman" w:cs="Times New Roman"/>
          <w:bCs/>
          <w:color w:val="2F2F2F"/>
          <w:sz w:val="24"/>
          <w:szCs w:val="24"/>
          <w:lang w:val="ru-RU"/>
        </w:rPr>
        <w:t xml:space="preserve">, одобряется </w:t>
      </w:r>
      <w:r w:rsidR="00E64644">
        <w:rPr>
          <w:rFonts w:ascii="Times New Roman" w:eastAsia="Times New Roman" w:hAnsi="Times New Roman" w:cs="Times New Roman"/>
          <w:bCs/>
          <w:color w:val="2F2F2F"/>
          <w:sz w:val="24"/>
          <w:szCs w:val="24"/>
          <w:lang w:val="ru-RU"/>
        </w:rPr>
        <w:t>РСР АТО Гагаузия</w:t>
      </w:r>
      <w:r w:rsidRPr="00A03A37">
        <w:rPr>
          <w:rFonts w:ascii="Times New Roman" w:eastAsia="Times New Roman" w:hAnsi="Times New Roman" w:cs="Times New Roman"/>
          <w:bCs/>
          <w:color w:val="2F2F2F"/>
          <w:sz w:val="24"/>
          <w:szCs w:val="24"/>
          <w:lang w:val="ru-RU"/>
        </w:rPr>
        <w:t xml:space="preserve"> и публикуется на официальном сайте.</w:t>
      </w:r>
    </w:p>
    <w:p w:rsidR="00E31A6B" w:rsidRPr="00E64644" w:rsidRDefault="00E31A6B" w:rsidP="0075428B">
      <w:pPr>
        <w:shd w:val="clear" w:color="auto" w:fill="FFFFFF"/>
        <w:spacing w:before="240" w:after="0" w:line="240" w:lineRule="auto"/>
        <w:ind w:firstLine="567"/>
        <w:jc w:val="both"/>
        <w:rPr>
          <w:rFonts w:ascii="Times New Roman" w:eastAsia="Times New Roman" w:hAnsi="Times New Roman" w:cs="Times New Roman"/>
          <w:bCs/>
          <w:color w:val="2F2F2F"/>
          <w:sz w:val="24"/>
          <w:szCs w:val="24"/>
          <w:lang w:val="ru-RU"/>
        </w:rPr>
      </w:pPr>
      <w:r w:rsidRPr="00E64644">
        <w:rPr>
          <w:rFonts w:ascii="Times New Roman" w:eastAsia="Times New Roman" w:hAnsi="Times New Roman" w:cs="Times New Roman"/>
          <w:bCs/>
          <w:color w:val="2F2F2F"/>
          <w:sz w:val="24"/>
          <w:szCs w:val="24"/>
          <w:lang w:val="ru-RU"/>
        </w:rPr>
        <w:t xml:space="preserve">Для обеспечения прозрачности </w:t>
      </w:r>
      <w:r w:rsidR="00E64644" w:rsidRPr="00E64644">
        <w:rPr>
          <w:rFonts w:ascii="Times New Roman" w:eastAsia="Times New Roman" w:hAnsi="Times New Roman" w:cs="Times New Roman"/>
          <w:bCs/>
          <w:color w:val="2F2F2F"/>
          <w:sz w:val="24"/>
          <w:szCs w:val="24"/>
          <w:lang w:val="ru-RU"/>
        </w:rPr>
        <w:t>АРР АТО Гагаузия</w:t>
      </w:r>
      <w:r w:rsidRPr="00E64644">
        <w:rPr>
          <w:rFonts w:ascii="Times New Roman" w:eastAsia="Times New Roman" w:hAnsi="Times New Roman" w:cs="Times New Roman"/>
          <w:bCs/>
          <w:color w:val="2F2F2F"/>
          <w:sz w:val="24"/>
          <w:szCs w:val="24"/>
          <w:lang w:val="ru-RU"/>
        </w:rPr>
        <w:t xml:space="preserve"> </w:t>
      </w:r>
      <w:r w:rsidR="00E64644" w:rsidRPr="00E64644">
        <w:rPr>
          <w:rFonts w:ascii="Times New Roman" w:eastAsia="Times New Roman" w:hAnsi="Times New Roman" w:cs="Times New Roman"/>
          <w:bCs/>
          <w:color w:val="2F2F2F"/>
          <w:sz w:val="24"/>
          <w:szCs w:val="24"/>
          <w:lang w:val="ru-RU"/>
        </w:rPr>
        <w:t>публикует на</w:t>
      </w:r>
      <w:r w:rsidRPr="00E64644">
        <w:rPr>
          <w:rFonts w:ascii="Times New Roman" w:eastAsia="Times New Roman" w:hAnsi="Times New Roman" w:cs="Times New Roman"/>
          <w:bCs/>
          <w:color w:val="2F2F2F"/>
          <w:sz w:val="24"/>
          <w:szCs w:val="24"/>
          <w:lang w:val="ru-RU"/>
        </w:rPr>
        <w:t xml:space="preserve"> своем веб-сайте отчеты о реализации </w:t>
      </w:r>
      <w:r w:rsidR="00E64644" w:rsidRPr="00E64644">
        <w:rPr>
          <w:rFonts w:ascii="Times New Roman" w:eastAsia="Times New Roman" w:hAnsi="Times New Roman" w:cs="Times New Roman"/>
          <w:bCs/>
          <w:color w:val="2F2F2F"/>
          <w:sz w:val="24"/>
          <w:szCs w:val="24"/>
          <w:lang w:val="ru-RU"/>
        </w:rPr>
        <w:t>РОП</w:t>
      </w:r>
      <w:r w:rsidRPr="00E64644">
        <w:rPr>
          <w:rFonts w:ascii="Times New Roman" w:eastAsia="Times New Roman" w:hAnsi="Times New Roman" w:cs="Times New Roman"/>
          <w:bCs/>
          <w:color w:val="2F2F2F"/>
          <w:sz w:val="24"/>
          <w:szCs w:val="24"/>
          <w:lang w:val="ru-RU"/>
        </w:rPr>
        <w:t>, включая полугодовые и годовые отчеты. Этот процесс облегчает доступ заинтересованных сторон к соответствующей информации и способствует укреплению доверия к использованию государственных средств.</w:t>
      </w:r>
    </w:p>
    <w:p w:rsidR="00E31A6B" w:rsidRPr="00E31A6B" w:rsidRDefault="00E31A6B" w:rsidP="0075428B">
      <w:pPr>
        <w:shd w:val="clear" w:color="auto" w:fill="FFFFFF"/>
        <w:spacing w:before="240" w:after="0" w:line="240" w:lineRule="auto"/>
        <w:ind w:firstLine="567"/>
        <w:rPr>
          <w:rFonts w:ascii="Times New Roman" w:eastAsia="Times New Roman" w:hAnsi="Times New Roman" w:cs="Times New Roman"/>
          <w:b/>
          <w:bCs/>
          <w:color w:val="2F2F2F"/>
          <w:sz w:val="24"/>
          <w:szCs w:val="24"/>
          <w:lang w:val="ru-RU"/>
        </w:rPr>
      </w:pPr>
    </w:p>
    <w:p w:rsidR="008D1CF1" w:rsidRDefault="008D1CF1" w:rsidP="008D1CF1">
      <w:pPr>
        <w:shd w:val="clear" w:color="auto" w:fill="FFFFFF"/>
        <w:spacing w:before="240" w:after="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rPr>
        <w:t>X</w:t>
      </w:r>
      <w:r w:rsidRPr="008558B6">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lang w:val="ru-RU"/>
        </w:rPr>
        <w:t>ПЛАН РЕАЛИЗАЦИИ</w:t>
      </w:r>
      <w:r>
        <w:rPr>
          <w:rFonts w:ascii="Times New Roman" w:eastAsia="Times New Roman" w:hAnsi="Times New Roman" w:cs="Times New Roman"/>
          <w:b/>
          <w:bCs/>
          <w:color w:val="2F2F2F"/>
          <w:sz w:val="24"/>
          <w:szCs w:val="24"/>
          <w:lang w:val="ro-MD"/>
        </w:rPr>
        <w:t xml:space="preserve"> </w:t>
      </w:r>
      <w:r>
        <w:rPr>
          <w:rFonts w:ascii="Times New Roman" w:eastAsia="Times New Roman" w:hAnsi="Times New Roman" w:cs="Times New Roman"/>
          <w:b/>
          <w:bCs/>
          <w:color w:val="2F2F2F"/>
          <w:sz w:val="24"/>
          <w:szCs w:val="24"/>
          <w:lang w:val="ru-RU"/>
        </w:rPr>
        <w:t>РОП</w:t>
      </w:r>
      <w:r w:rsidRPr="008558B6">
        <w:rPr>
          <w:rFonts w:ascii="Times New Roman" w:eastAsia="Times New Roman" w:hAnsi="Times New Roman" w:cs="Times New Roman"/>
          <w:b/>
          <w:bCs/>
          <w:color w:val="2F2F2F"/>
          <w:sz w:val="24"/>
          <w:szCs w:val="24"/>
          <w:lang w:val="ru-RU"/>
        </w:rPr>
        <w:t xml:space="preserve"> </w:t>
      </w:r>
      <w:r>
        <w:rPr>
          <w:rFonts w:ascii="Times New Roman" w:eastAsia="Times New Roman" w:hAnsi="Times New Roman" w:cs="Times New Roman"/>
          <w:b/>
          <w:bCs/>
          <w:color w:val="2F2F2F"/>
          <w:sz w:val="24"/>
          <w:szCs w:val="24"/>
        </w:rPr>
        <w:t>ATO</w:t>
      </w:r>
      <w:r w:rsidRPr="008558B6">
        <w:rPr>
          <w:rFonts w:ascii="Times New Roman" w:eastAsia="Times New Roman" w:hAnsi="Times New Roman" w:cs="Times New Roman"/>
          <w:b/>
          <w:bCs/>
          <w:color w:val="2F2F2F"/>
          <w:sz w:val="24"/>
          <w:szCs w:val="24"/>
          <w:lang w:val="ru-RU"/>
        </w:rPr>
        <w:t xml:space="preserve"> ГАГАУЗИЯ НА 2026-2028 ГОДЫ</w:t>
      </w:r>
    </w:p>
    <w:p w:rsidR="008D1CF1" w:rsidRPr="00E652BA" w:rsidRDefault="008D1CF1" w:rsidP="008D1CF1">
      <w:pPr>
        <w:shd w:val="clear" w:color="auto" w:fill="FFFFFF"/>
        <w:spacing w:before="240" w:after="0" w:line="360" w:lineRule="auto"/>
        <w:rPr>
          <w:rFonts w:ascii="Times New Roman" w:eastAsia="Times New Roman" w:hAnsi="Times New Roman" w:cs="Times New Roman"/>
          <w:b/>
          <w:bCs/>
          <w:color w:val="2F2F2F"/>
          <w:sz w:val="24"/>
          <w:szCs w:val="24"/>
          <w:lang w:val="ru-RU"/>
        </w:rPr>
      </w:pPr>
      <w:r>
        <w:rPr>
          <w:rFonts w:ascii="Times New Roman" w:eastAsia="Times New Roman" w:hAnsi="Times New Roman" w:cs="Times New Roman"/>
          <w:b/>
          <w:bCs/>
          <w:color w:val="2F2F2F"/>
          <w:sz w:val="24"/>
          <w:szCs w:val="24"/>
          <w:lang w:val="ru-RU"/>
        </w:rPr>
        <w:t xml:space="preserve">     </w:t>
      </w:r>
    </w:p>
    <w:p w:rsidR="008D1CF1" w:rsidRDefault="008D1CF1" w:rsidP="008D1CF1">
      <w:pPr>
        <w:shd w:val="clear" w:color="auto" w:fill="FFFFFF"/>
        <w:spacing w:after="0" w:line="360" w:lineRule="auto"/>
        <w:rPr>
          <w:rFonts w:ascii="Times New Roman" w:eastAsia="Times New Roman" w:hAnsi="Times New Roman" w:cs="Times New Roman"/>
          <w:b/>
          <w:bCs/>
          <w:color w:val="000000"/>
          <w:sz w:val="24"/>
          <w:szCs w:val="24"/>
          <w:lang w:val="ru-RU"/>
        </w:rPr>
      </w:pPr>
    </w:p>
    <w:p w:rsidR="008D1CF1" w:rsidRPr="00935CE2" w:rsidRDefault="008D1CF1" w:rsidP="008D1CF1">
      <w:pPr>
        <w:shd w:val="clear" w:color="auto" w:fill="FFFFFF"/>
        <w:spacing w:after="0" w:line="360" w:lineRule="auto"/>
        <w:rPr>
          <w:rFonts w:ascii="Times New Roman" w:eastAsia="Times New Roman" w:hAnsi="Times New Roman" w:cs="Times New Roman"/>
          <w:sz w:val="24"/>
          <w:szCs w:val="24"/>
          <w:lang w:val="ru-RU"/>
        </w:rPr>
      </w:pPr>
    </w:p>
    <w:p w:rsidR="008D1CF1" w:rsidRPr="00F70993" w:rsidRDefault="008D1CF1" w:rsidP="00A47A44">
      <w:pPr>
        <w:shd w:val="clear" w:color="auto" w:fill="FFFFFF"/>
        <w:spacing w:after="0" w:line="240" w:lineRule="auto"/>
        <w:jc w:val="both"/>
        <w:rPr>
          <w:rFonts w:ascii="Times New Roman" w:eastAsia="Times New Roman" w:hAnsi="Times New Roman" w:cs="Times New Roman"/>
          <w:sz w:val="24"/>
          <w:szCs w:val="24"/>
          <w:lang w:val="ru-RU"/>
        </w:rPr>
      </w:pPr>
    </w:p>
    <w:sectPr w:rsidR="008D1CF1" w:rsidRPr="00F70993" w:rsidSect="00F70993">
      <w:footerReference w:type="default" r:id="rId5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5535" w:rsidRDefault="00835535" w:rsidP="00292B85">
      <w:pPr>
        <w:spacing w:after="0" w:line="240" w:lineRule="auto"/>
      </w:pPr>
      <w:r>
        <w:separator/>
      </w:r>
    </w:p>
  </w:endnote>
  <w:endnote w:type="continuationSeparator" w:id="0">
    <w:p w:rsidR="00835535" w:rsidRDefault="00835535" w:rsidP="0029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5651692"/>
      <w:docPartObj>
        <w:docPartGallery w:val="Page Numbers (Bottom of Page)"/>
        <w:docPartUnique/>
      </w:docPartObj>
    </w:sdtPr>
    <w:sdtEndPr/>
    <w:sdtContent>
      <w:p w:rsidR="004676B6" w:rsidRDefault="004676B6">
        <w:pPr>
          <w:pStyle w:val="ab"/>
          <w:jc w:val="right"/>
        </w:pPr>
        <w:r>
          <w:fldChar w:fldCharType="begin"/>
        </w:r>
        <w:r>
          <w:instrText>PAGE   \* MERGEFORMAT</w:instrText>
        </w:r>
        <w:r>
          <w:fldChar w:fldCharType="separate"/>
        </w:r>
        <w:r w:rsidR="003D39C6" w:rsidRPr="003D39C6">
          <w:rPr>
            <w:noProof/>
            <w:lang w:val="ru-RU"/>
          </w:rPr>
          <w:t>1</w:t>
        </w:r>
        <w:r>
          <w:fldChar w:fldCharType="end"/>
        </w:r>
      </w:p>
    </w:sdtContent>
  </w:sdt>
  <w:p w:rsidR="004676B6" w:rsidRDefault="004676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5535" w:rsidRDefault="00835535" w:rsidP="00292B85">
      <w:pPr>
        <w:spacing w:after="0" w:line="240" w:lineRule="auto"/>
      </w:pPr>
      <w:r>
        <w:separator/>
      </w:r>
    </w:p>
  </w:footnote>
  <w:footnote w:type="continuationSeparator" w:id="0">
    <w:p w:rsidR="00835535" w:rsidRDefault="00835535" w:rsidP="00292B85">
      <w:pPr>
        <w:spacing w:after="0" w:line="240" w:lineRule="auto"/>
      </w:pPr>
      <w:r>
        <w:continuationSeparator/>
      </w:r>
    </w:p>
  </w:footnote>
  <w:footnote w:id="1">
    <w:p w:rsidR="004676B6" w:rsidRPr="0093474A" w:rsidRDefault="004676B6" w:rsidP="00B244E7">
      <w:pPr>
        <w:pStyle w:val="ad"/>
        <w:jc w:val="both"/>
      </w:pPr>
      <w:r>
        <w:rPr>
          <w:rStyle w:val="af"/>
        </w:rPr>
        <w:footnoteRef/>
      </w:r>
      <w:r>
        <w:t xml:space="preserve"> </w:t>
      </w:r>
      <w:proofErr w:type="spellStart"/>
      <w:r w:rsidRPr="008452A1">
        <w:rPr>
          <w:rFonts w:ascii="Times New Roman" w:hAnsi="Times New Roman" w:cs="Times New Roman"/>
          <w:i/>
          <w:iCs/>
          <w:sz w:val="16"/>
          <w:szCs w:val="16"/>
        </w:rPr>
        <w:t>Источник</w:t>
      </w:r>
      <w:proofErr w:type="spellEnd"/>
      <w:r w:rsidRPr="008452A1">
        <w:rPr>
          <w:rFonts w:ascii="Times New Roman" w:hAnsi="Times New Roman" w:cs="Times New Roman"/>
          <w:i/>
          <w:iCs/>
          <w:sz w:val="16"/>
          <w:szCs w:val="16"/>
        </w:rPr>
        <w:t xml:space="preserve">: </w:t>
      </w:r>
      <w:proofErr w:type="spellStart"/>
      <w:r w:rsidRPr="008452A1">
        <w:rPr>
          <w:rFonts w:ascii="Times New Roman" w:hAnsi="Times New Roman" w:cs="Times New Roman"/>
          <w:i/>
          <w:iCs/>
          <w:sz w:val="16"/>
          <w:szCs w:val="16"/>
        </w:rPr>
        <w:t>Biroul</w:t>
      </w:r>
      <w:proofErr w:type="spellEnd"/>
      <w:r w:rsidRPr="008452A1">
        <w:rPr>
          <w:rFonts w:ascii="Times New Roman" w:hAnsi="Times New Roman" w:cs="Times New Roman"/>
          <w:i/>
          <w:iCs/>
          <w:sz w:val="16"/>
          <w:szCs w:val="16"/>
        </w:rPr>
        <w:t xml:space="preserve"> </w:t>
      </w:r>
      <w:proofErr w:type="spellStart"/>
      <w:r w:rsidRPr="008452A1">
        <w:rPr>
          <w:rFonts w:ascii="Times New Roman" w:hAnsi="Times New Roman" w:cs="Times New Roman"/>
          <w:i/>
          <w:iCs/>
          <w:sz w:val="16"/>
          <w:szCs w:val="16"/>
        </w:rPr>
        <w:t>Național</w:t>
      </w:r>
      <w:proofErr w:type="spellEnd"/>
      <w:r w:rsidRPr="008452A1">
        <w:rPr>
          <w:rFonts w:ascii="Times New Roman" w:hAnsi="Times New Roman" w:cs="Times New Roman"/>
          <w:i/>
          <w:iCs/>
          <w:sz w:val="16"/>
          <w:szCs w:val="16"/>
        </w:rPr>
        <w:t xml:space="preserve"> de </w:t>
      </w:r>
      <w:proofErr w:type="spellStart"/>
      <w:r w:rsidRPr="008452A1">
        <w:rPr>
          <w:rFonts w:ascii="Times New Roman" w:hAnsi="Times New Roman" w:cs="Times New Roman"/>
          <w:i/>
          <w:iCs/>
          <w:sz w:val="16"/>
          <w:szCs w:val="16"/>
        </w:rPr>
        <w:t>Statistică</w:t>
      </w:r>
      <w:proofErr w:type="spellEnd"/>
      <w:r w:rsidRPr="008452A1">
        <w:rPr>
          <w:rFonts w:ascii="Times New Roman" w:hAnsi="Times New Roman" w:cs="Times New Roman"/>
          <w:i/>
          <w:iCs/>
          <w:sz w:val="16"/>
          <w:szCs w:val="16"/>
        </w:rPr>
        <w:t xml:space="preserve"> al </w:t>
      </w:r>
      <w:proofErr w:type="spellStart"/>
      <w:r w:rsidRPr="008452A1">
        <w:rPr>
          <w:rFonts w:ascii="Times New Roman" w:hAnsi="Times New Roman" w:cs="Times New Roman"/>
          <w:i/>
          <w:iCs/>
          <w:sz w:val="16"/>
          <w:szCs w:val="16"/>
        </w:rPr>
        <w:t>Republicii</w:t>
      </w:r>
      <w:proofErr w:type="spellEnd"/>
      <w:r w:rsidRPr="008452A1">
        <w:rPr>
          <w:rFonts w:ascii="Times New Roman" w:hAnsi="Times New Roman" w:cs="Times New Roman"/>
          <w:i/>
          <w:iCs/>
          <w:sz w:val="16"/>
          <w:szCs w:val="16"/>
        </w:rPr>
        <w:t xml:space="preserve"> Moldova. </w:t>
      </w:r>
      <w:proofErr w:type="spellStart"/>
      <w:r w:rsidRPr="008452A1">
        <w:rPr>
          <w:rFonts w:ascii="Times New Roman" w:hAnsi="Times New Roman" w:cs="Times New Roman"/>
          <w:i/>
          <w:iCs/>
          <w:sz w:val="16"/>
          <w:szCs w:val="16"/>
        </w:rPr>
        <w:t>Statistica</w:t>
      </w:r>
      <w:proofErr w:type="spellEnd"/>
      <w:r w:rsidRPr="008452A1">
        <w:rPr>
          <w:rFonts w:ascii="Times New Roman" w:hAnsi="Times New Roman" w:cs="Times New Roman"/>
          <w:i/>
          <w:iCs/>
          <w:sz w:val="16"/>
          <w:szCs w:val="16"/>
        </w:rPr>
        <w:t xml:space="preserve"> </w:t>
      </w:r>
      <w:proofErr w:type="spellStart"/>
      <w:r w:rsidRPr="008452A1">
        <w:rPr>
          <w:rFonts w:ascii="Times New Roman" w:hAnsi="Times New Roman" w:cs="Times New Roman"/>
          <w:i/>
          <w:iCs/>
          <w:sz w:val="16"/>
          <w:szCs w:val="16"/>
        </w:rPr>
        <w:t>teritorială</w:t>
      </w:r>
      <w:proofErr w:type="spellEnd"/>
      <w:r w:rsidRPr="008452A1">
        <w:rPr>
          <w:rFonts w:ascii="Times New Roman" w:hAnsi="Times New Roman" w:cs="Times New Roman"/>
          <w:i/>
          <w:iCs/>
          <w:sz w:val="16"/>
          <w:szCs w:val="16"/>
        </w:rPr>
        <w:t xml:space="preserve"> 2025 [</w:t>
      </w:r>
      <w:proofErr w:type="spellStart"/>
      <w:r w:rsidRPr="008452A1">
        <w:rPr>
          <w:rFonts w:ascii="Times New Roman" w:hAnsi="Times New Roman" w:cs="Times New Roman"/>
          <w:i/>
          <w:iCs/>
          <w:sz w:val="16"/>
          <w:szCs w:val="16"/>
        </w:rPr>
        <w:t>resursă</w:t>
      </w:r>
      <w:proofErr w:type="spellEnd"/>
      <w:r w:rsidRPr="008452A1">
        <w:rPr>
          <w:rFonts w:ascii="Times New Roman" w:hAnsi="Times New Roman" w:cs="Times New Roman"/>
          <w:i/>
          <w:iCs/>
          <w:sz w:val="16"/>
          <w:szCs w:val="16"/>
        </w:rPr>
        <w:t xml:space="preserve"> </w:t>
      </w:r>
      <w:proofErr w:type="spellStart"/>
      <w:r w:rsidRPr="008452A1">
        <w:rPr>
          <w:rFonts w:ascii="Times New Roman" w:hAnsi="Times New Roman" w:cs="Times New Roman"/>
          <w:i/>
          <w:iCs/>
          <w:sz w:val="16"/>
          <w:szCs w:val="16"/>
        </w:rPr>
        <w:t>electronică</w:t>
      </w:r>
      <w:proofErr w:type="spellEnd"/>
      <w:r w:rsidRPr="008452A1">
        <w:rPr>
          <w:rFonts w:ascii="Times New Roman" w:hAnsi="Times New Roman" w:cs="Times New Roman"/>
          <w:i/>
          <w:iCs/>
          <w:sz w:val="16"/>
          <w:szCs w:val="16"/>
        </w:rPr>
        <w:t xml:space="preserve">]. – </w:t>
      </w:r>
      <w:proofErr w:type="spellStart"/>
      <w:r w:rsidRPr="008452A1">
        <w:rPr>
          <w:rFonts w:ascii="Times New Roman" w:hAnsi="Times New Roman" w:cs="Times New Roman"/>
          <w:i/>
          <w:iCs/>
          <w:sz w:val="16"/>
          <w:szCs w:val="16"/>
        </w:rPr>
        <w:t>Disponibil</w:t>
      </w:r>
      <w:proofErr w:type="spellEnd"/>
      <w:r w:rsidRPr="008452A1">
        <w:rPr>
          <w:rFonts w:ascii="Times New Roman" w:hAnsi="Times New Roman" w:cs="Times New Roman"/>
          <w:i/>
          <w:iCs/>
          <w:sz w:val="16"/>
          <w:szCs w:val="16"/>
        </w:rPr>
        <w:t xml:space="preserve">: </w:t>
      </w:r>
      <w:hyperlink r:id="rId1" w:tgtFrame="_blank" w:history="1">
        <w:r w:rsidRPr="008452A1">
          <w:rPr>
            <w:rStyle w:val="af0"/>
            <w:rFonts w:ascii="Times New Roman" w:hAnsi="Times New Roman" w:cs="Times New Roman"/>
            <w:i/>
            <w:iCs/>
            <w:sz w:val="16"/>
            <w:szCs w:val="16"/>
          </w:rPr>
          <w:t>statistica.gov.md</w:t>
        </w:r>
      </w:hyperlink>
    </w:p>
  </w:footnote>
  <w:footnote w:id="2">
    <w:p w:rsidR="004676B6" w:rsidRPr="00ED1CE8" w:rsidRDefault="004676B6" w:rsidP="003F5D83">
      <w:pPr>
        <w:pStyle w:val="ad"/>
        <w:jc w:val="both"/>
        <w:rPr>
          <w:rFonts w:ascii="Times New Roman" w:hAnsi="Times New Roman" w:cs="Times New Roman"/>
          <w:i/>
          <w:iCs/>
          <w:sz w:val="16"/>
          <w:szCs w:val="16"/>
          <w:lang w:val="ru-RU"/>
        </w:rPr>
      </w:pPr>
      <w:r w:rsidRPr="00ED1CE8">
        <w:rPr>
          <w:rStyle w:val="af"/>
          <w:rFonts w:ascii="Times New Roman" w:hAnsi="Times New Roman" w:cs="Times New Roman"/>
          <w:sz w:val="16"/>
          <w:szCs w:val="16"/>
        </w:rPr>
        <w:footnoteRef/>
      </w:r>
      <w:r w:rsidRPr="00844989">
        <w:rPr>
          <w:rFonts w:ascii="Times New Roman" w:hAnsi="Times New Roman" w:cs="Times New Roman"/>
          <w:sz w:val="16"/>
          <w:szCs w:val="16"/>
        </w:rPr>
        <w:t xml:space="preserve"> </w:t>
      </w:r>
      <w:r w:rsidRPr="00ED1CE8">
        <w:rPr>
          <w:rFonts w:ascii="Times New Roman" w:hAnsi="Times New Roman" w:cs="Times New Roman"/>
          <w:i/>
          <w:iCs/>
          <w:sz w:val="16"/>
          <w:szCs w:val="16"/>
          <w:lang w:val="ru-RU"/>
        </w:rPr>
        <w:t>Источник</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Главное</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управление</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экономического</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развития</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и</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туризма</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АТО</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Гагаузия</w:t>
      </w:r>
      <w:r w:rsidRPr="00844989">
        <w:rPr>
          <w:rFonts w:ascii="Times New Roman" w:hAnsi="Times New Roman" w:cs="Times New Roman"/>
          <w:i/>
          <w:iCs/>
          <w:sz w:val="16"/>
          <w:szCs w:val="16"/>
        </w:rPr>
        <w:t xml:space="preserve">. </w:t>
      </w:r>
      <w:r w:rsidRPr="00ED1CE8">
        <w:rPr>
          <w:rFonts w:ascii="Times New Roman" w:hAnsi="Times New Roman" w:cs="Times New Roman"/>
          <w:i/>
          <w:iCs/>
          <w:sz w:val="16"/>
          <w:szCs w:val="16"/>
          <w:lang w:val="ru-RU"/>
        </w:rPr>
        <w:t>Итоги социально-экономического развития Гагаузии за 2024 год [</w:t>
      </w:r>
      <w:proofErr w:type="spellStart"/>
      <w:r w:rsidRPr="00ED1CE8">
        <w:rPr>
          <w:rFonts w:ascii="Times New Roman" w:hAnsi="Times New Roman" w:cs="Times New Roman"/>
          <w:i/>
          <w:iCs/>
          <w:sz w:val="16"/>
          <w:szCs w:val="16"/>
        </w:rPr>
        <w:t>resurs</w:t>
      </w:r>
      <w:proofErr w:type="spellEnd"/>
      <w:r w:rsidRPr="00ED1CE8">
        <w:rPr>
          <w:rFonts w:ascii="Times New Roman" w:hAnsi="Times New Roman" w:cs="Times New Roman"/>
          <w:i/>
          <w:iCs/>
          <w:sz w:val="16"/>
          <w:szCs w:val="16"/>
          <w:lang w:val="ru-RU"/>
        </w:rPr>
        <w:t xml:space="preserve">ă </w:t>
      </w:r>
      <w:r w:rsidRPr="00ED1CE8">
        <w:rPr>
          <w:rFonts w:ascii="Times New Roman" w:hAnsi="Times New Roman" w:cs="Times New Roman"/>
          <w:i/>
          <w:iCs/>
          <w:sz w:val="16"/>
          <w:szCs w:val="16"/>
        </w:rPr>
        <w:t>electronic</w:t>
      </w:r>
      <w:r w:rsidRPr="00ED1CE8">
        <w:rPr>
          <w:rFonts w:ascii="Times New Roman" w:hAnsi="Times New Roman" w:cs="Times New Roman"/>
          <w:i/>
          <w:iCs/>
          <w:sz w:val="16"/>
          <w:szCs w:val="16"/>
          <w:lang w:val="ru-RU"/>
        </w:rPr>
        <w:t xml:space="preserve">ă]. – </w:t>
      </w:r>
      <w:proofErr w:type="spellStart"/>
      <w:r w:rsidRPr="00ED1CE8">
        <w:rPr>
          <w:rFonts w:ascii="Times New Roman" w:hAnsi="Times New Roman" w:cs="Times New Roman"/>
          <w:i/>
          <w:iCs/>
          <w:sz w:val="16"/>
          <w:szCs w:val="16"/>
        </w:rPr>
        <w:t>Disponibil</w:t>
      </w:r>
      <w:proofErr w:type="spellEnd"/>
      <w:r w:rsidRPr="00ED1CE8">
        <w:rPr>
          <w:rFonts w:ascii="Times New Roman" w:hAnsi="Times New Roman" w:cs="Times New Roman"/>
          <w:i/>
          <w:iCs/>
          <w:sz w:val="16"/>
          <w:szCs w:val="16"/>
          <w:lang w:val="ru-RU"/>
        </w:rPr>
        <w:t xml:space="preserve">: </w:t>
      </w:r>
      <w:hyperlink r:id="rId2" w:tgtFrame="_blank" w:history="1">
        <w:r w:rsidRPr="00ED1CE8">
          <w:rPr>
            <w:rStyle w:val="af0"/>
            <w:rFonts w:ascii="Times New Roman" w:hAnsi="Times New Roman" w:cs="Times New Roman"/>
            <w:i/>
            <w:iCs/>
            <w:sz w:val="16"/>
            <w:szCs w:val="16"/>
            <w:lang w:val="ru-RU"/>
          </w:rPr>
          <w:t>Итоги социально-экономического развития Гагаузии за 2024 год</w:t>
        </w:r>
      </w:hyperlink>
    </w:p>
  </w:footnote>
  <w:footnote w:id="3">
    <w:p w:rsidR="004676B6" w:rsidRPr="00910673" w:rsidRDefault="004676B6" w:rsidP="003F5D83">
      <w:pPr>
        <w:pStyle w:val="ad"/>
        <w:jc w:val="both"/>
        <w:rPr>
          <w:rFonts w:ascii="Times New Roman" w:hAnsi="Times New Roman" w:cs="Times New Roman"/>
          <w:i/>
          <w:iCs/>
          <w:lang w:val="ru-RU"/>
        </w:rPr>
      </w:pPr>
      <w:r>
        <w:rPr>
          <w:rStyle w:val="af"/>
        </w:rPr>
        <w:footnoteRef/>
      </w:r>
      <w:r w:rsidRPr="00910673">
        <w:rPr>
          <w:lang w:val="ru-RU"/>
        </w:rPr>
        <w:t xml:space="preserve"> </w:t>
      </w:r>
      <w:r w:rsidRPr="006D3B1A">
        <w:rPr>
          <w:rFonts w:ascii="Times New Roman" w:hAnsi="Times New Roman" w:cs="Times New Roman"/>
          <w:i/>
          <w:iCs/>
          <w:sz w:val="16"/>
          <w:szCs w:val="16"/>
          <w:lang w:val="ru-RU"/>
        </w:rPr>
        <w:t xml:space="preserve">Организация Объединённых Наций. Цель устойчивого развития 6: Обеспечение наличия и рационального использования водных ресурсов и санитарии для всех. Режим доступа: </w:t>
      </w:r>
      <w:hyperlink r:id="rId3" w:tgtFrame="_new" w:history="1">
        <w:r w:rsidRPr="006D3B1A">
          <w:rPr>
            <w:rStyle w:val="af0"/>
            <w:rFonts w:ascii="Times New Roman" w:hAnsi="Times New Roman" w:cs="Times New Roman"/>
            <w:i/>
            <w:iCs/>
            <w:sz w:val="16"/>
            <w:szCs w:val="16"/>
          </w:rPr>
          <w:t>https</w:t>
        </w:r>
        <w:r w:rsidRPr="006D3B1A">
          <w:rPr>
            <w:rStyle w:val="af0"/>
            <w:rFonts w:ascii="Times New Roman" w:hAnsi="Times New Roman" w:cs="Times New Roman"/>
            <w:i/>
            <w:iCs/>
            <w:sz w:val="16"/>
            <w:szCs w:val="16"/>
            <w:lang w:val="ru-RU"/>
          </w:rPr>
          <w:t>://</w:t>
        </w:r>
        <w:proofErr w:type="spellStart"/>
        <w:r w:rsidRPr="006D3B1A">
          <w:rPr>
            <w:rStyle w:val="af0"/>
            <w:rFonts w:ascii="Times New Roman" w:hAnsi="Times New Roman" w:cs="Times New Roman"/>
            <w:i/>
            <w:iCs/>
            <w:sz w:val="16"/>
            <w:szCs w:val="16"/>
          </w:rPr>
          <w:t>sdgs</w:t>
        </w:r>
        <w:proofErr w:type="spellEnd"/>
        <w:r w:rsidRPr="006D3B1A">
          <w:rPr>
            <w:rStyle w:val="af0"/>
            <w:rFonts w:ascii="Times New Roman" w:hAnsi="Times New Roman" w:cs="Times New Roman"/>
            <w:i/>
            <w:iCs/>
            <w:sz w:val="16"/>
            <w:szCs w:val="16"/>
            <w:lang w:val="ru-RU"/>
          </w:rPr>
          <w:t>.</w:t>
        </w:r>
        <w:r w:rsidRPr="006D3B1A">
          <w:rPr>
            <w:rStyle w:val="af0"/>
            <w:rFonts w:ascii="Times New Roman" w:hAnsi="Times New Roman" w:cs="Times New Roman"/>
            <w:i/>
            <w:iCs/>
            <w:sz w:val="16"/>
            <w:szCs w:val="16"/>
          </w:rPr>
          <w:t>un</w:t>
        </w:r>
        <w:r w:rsidRPr="006D3B1A">
          <w:rPr>
            <w:rStyle w:val="af0"/>
            <w:rFonts w:ascii="Times New Roman" w:hAnsi="Times New Roman" w:cs="Times New Roman"/>
            <w:i/>
            <w:iCs/>
            <w:sz w:val="16"/>
            <w:szCs w:val="16"/>
            <w:lang w:val="ru-RU"/>
          </w:rPr>
          <w:t>.</w:t>
        </w:r>
        <w:r w:rsidRPr="006D3B1A">
          <w:rPr>
            <w:rStyle w:val="af0"/>
            <w:rFonts w:ascii="Times New Roman" w:hAnsi="Times New Roman" w:cs="Times New Roman"/>
            <w:i/>
            <w:iCs/>
            <w:sz w:val="16"/>
            <w:szCs w:val="16"/>
          </w:rPr>
          <w:t>org</w:t>
        </w:r>
        <w:r w:rsidRPr="006D3B1A">
          <w:rPr>
            <w:rStyle w:val="af0"/>
            <w:rFonts w:ascii="Times New Roman" w:hAnsi="Times New Roman" w:cs="Times New Roman"/>
            <w:i/>
            <w:iCs/>
            <w:sz w:val="16"/>
            <w:szCs w:val="16"/>
            <w:lang w:val="ru-RU"/>
          </w:rPr>
          <w:t>/</w:t>
        </w:r>
        <w:r w:rsidRPr="006D3B1A">
          <w:rPr>
            <w:rStyle w:val="af0"/>
            <w:rFonts w:ascii="Times New Roman" w:hAnsi="Times New Roman" w:cs="Times New Roman"/>
            <w:i/>
            <w:iCs/>
            <w:sz w:val="16"/>
            <w:szCs w:val="16"/>
          </w:rPr>
          <w:t>goals</w:t>
        </w:r>
        <w:r w:rsidRPr="006D3B1A">
          <w:rPr>
            <w:rStyle w:val="af0"/>
            <w:rFonts w:ascii="Times New Roman" w:hAnsi="Times New Roman" w:cs="Times New Roman"/>
            <w:i/>
            <w:iCs/>
            <w:sz w:val="16"/>
            <w:szCs w:val="16"/>
            <w:lang w:val="ru-RU"/>
          </w:rPr>
          <w:t>/</w:t>
        </w:r>
        <w:r w:rsidRPr="006D3B1A">
          <w:rPr>
            <w:rStyle w:val="af0"/>
            <w:rFonts w:ascii="Times New Roman" w:hAnsi="Times New Roman" w:cs="Times New Roman"/>
            <w:i/>
            <w:iCs/>
            <w:sz w:val="16"/>
            <w:szCs w:val="16"/>
          </w:rPr>
          <w:t>goal</w:t>
        </w:r>
        <w:r w:rsidRPr="006D3B1A">
          <w:rPr>
            <w:rStyle w:val="af0"/>
            <w:rFonts w:ascii="Times New Roman" w:hAnsi="Times New Roman" w:cs="Times New Roman"/>
            <w:i/>
            <w:iCs/>
            <w:sz w:val="16"/>
            <w:szCs w:val="16"/>
            <w:lang w:val="ru-RU"/>
          </w:rPr>
          <w:t>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459"/>
    <w:multiLevelType w:val="multilevel"/>
    <w:tmpl w:val="07BD14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D3010E7"/>
    <w:multiLevelType w:val="multilevel"/>
    <w:tmpl w:val="2376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515FC"/>
    <w:multiLevelType w:val="hybridMultilevel"/>
    <w:tmpl w:val="3298504E"/>
    <w:lvl w:ilvl="0" w:tplc="FE42CF5A">
      <w:start w:val="1"/>
      <w:numFmt w:val="decimal"/>
      <w:lvlText w:val="(%1)"/>
      <w:lvlJc w:val="left"/>
      <w:pPr>
        <w:ind w:left="825" w:hanging="46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81178F"/>
    <w:multiLevelType w:val="multilevel"/>
    <w:tmpl w:val="0E9A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56B3C"/>
    <w:multiLevelType w:val="multilevel"/>
    <w:tmpl w:val="5FB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C69D9"/>
    <w:multiLevelType w:val="multilevel"/>
    <w:tmpl w:val="211C69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4C96701"/>
    <w:multiLevelType w:val="multilevel"/>
    <w:tmpl w:val="ED80CC24"/>
    <w:lvl w:ilvl="0">
      <w:start w:val="1"/>
      <w:numFmt w:val="upperRoman"/>
      <w:lvlText w:val="%1."/>
      <w:lvlJc w:val="left"/>
      <w:pPr>
        <w:ind w:left="1080" w:hanging="720"/>
      </w:pPr>
      <w:rPr>
        <w:rFonts w:hint="default"/>
        <w:color w:val="2F2F2F"/>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792560"/>
    <w:multiLevelType w:val="multilevel"/>
    <w:tmpl w:val="2118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A27CB"/>
    <w:multiLevelType w:val="multilevel"/>
    <w:tmpl w:val="9F22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4E240A"/>
    <w:multiLevelType w:val="multilevel"/>
    <w:tmpl w:val="2A4E240A"/>
    <w:lvl w:ilvl="0">
      <w:start w:val="2"/>
      <w:numFmt w:val="upperRoman"/>
      <w:lvlText w:val="%1."/>
      <w:lvlJc w:val="right"/>
      <w:pPr>
        <w:tabs>
          <w:tab w:val="left" w:pos="3196"/>
        </w:tabs>
        <w:ind w:left="3196" w:hanging="360"/>
      </w:pPr>
    </w:lvl>
    <w:lvl w:ilvl="1">
      <w:start w:val="1"/>
      <w:numFmt w:val="decimal"/>
      <w:isLgl/>
      <w:lvlText w:val="%1.%2"/>
      <w:lvlJc w:val="left"/>
      <w:pPr>
        <w:ind w:left="3196" w:hanging="360"/>
      </w:pPr>
      <w:rPr>
        <w:rFonts w:hint="default"/>
        <w:b/>
      </w:rPr>
    </w:lvl>
    <w:lvl w:ilvl="2">
      <w:start w:val="1"/>
      <w:numFmt w:val="decimal"/>
      <w:isLgl/>
      <w:lvlText w:val="%1.%2.%3"/>
      <w:lvlJc w:val="left"/>
      <w:pPr>
        <w:ind w:left="3556" w:hanging="720"/>
      </w:pPr>
      <w:rPr>
        <w:rFonts w:hint="default"/>
        <w:b/>
      </w:rPr>
    </w:lvl>
    <w:lvl w:ilvl="3">
      <w:start w:val="1"/>
      <w:numFmt w:val="decimal"/>
      <w:isLgl/>
      <w:lvlText w:val="%1.%2.%3.%4"/>
      <w:lvlJc w:val="left"/>
      <w:pPr>
        <w:ind w:left="3556" w:hanging="720"/>
      </w:pPr>
      <w:rPr>
        <w:rFonts w:hint="default"/>
        <w:b/>
      </w:rPr>
    </w:lvl>
    <w:lvl w:ilvl="4">
      <w:start w:val="1"/>
      <w:numFmt w:val="decimal"/>
      <w:isLgl/>
      <w:lvlText w:val="%1.%2.%3.%4.%5"/>
      <w:lvlJc w:val="left"/>
      <w:pPr>
        <w:ind w:left="3916" w:hanging="1080"/>
      </w:pPr>
      <w:rPr>
        <w:rFonts w:hint="default"/>
        <w:b/>
      </w:rPr>
    </w:lvl>
    <w:lvl w:ilvl="5">
      <w:start w:val="1"/>
      <w:numFmt w:val="decimal"/>
      <w:isLgl/>
      <w:lvlText w:val="%1.%2.%3.%4.%5.%6"/>
      <w:lvlJc w:val="left"/>
      <w:pPr>
        <w:ind w:left="3916" w:hanging="1080"/>
      </w:pPr>
      <w:rPr>
        <w:rFonts w:hint="default"/>
        <w:b/>
      </w:rPr>
    </w:lvl>
    <w:lvl w:ilvl="6">
      <w:start w:val="1"/>
      <w:numFmt w:val="decimal"/>
      <w:isLgl/>
      <w:lvlText w:val="%1.%2.%3.%4.%5.%6.%7"/>
      <w:lvlJc w:val="left"/>
      <w:pPr>
        <w:ind w:left="4276" w:hanging="1440"/>
      </w:pPr>
      <w:rPr>
        <w:rFonts w:hint="default"/>
        <w:b/>
      </w:rPr>
    </w:lvl>
    <w:lvl w:ilvl="7">
      <w:start w:val="1"/>
      <w:numFmt w:val="decimal"/>
      <w:isLgl/>
      <w:lvlText w:val="%1.%2.%3.%4.%5.%6.%7.%8"/>
      <w:lvlJc w:val="left"/>
      <w:pPr>
        <w:ind w:left="4276" w:hanging="1440"/>
      </w:pPr>
      <w:rPr>
        <w:rFonts w:hint="default"/>
        <w:b/>
      </w:rPr>
    </w:lvl>
    <w:lvl w:ilvl="8">
      <w:start w:val="1"/>
      <w:numFmt w:val="decimal"/>
      <w:isLgl/>
      <w:lvlText w:val="%1.%2.%3.%4.%5.%6.%7.%8.%9"/>
      <w:lvlJc w:val="left"/>
      <w:pPr>
        <w:ind w:left="4636" w:hanging="1800"/>
      </w:pPr>
      <w:rPr>
        <w:rFonts w:hint="default"/>
        <w:b/>
      </w:rPr>
    </w:lvl>
  </w:abstractNum>
  <w:abstractNum w:abstractNumId="10" w15:restartNumberingAfterBreak="0">
    <w:nsid w:val="31A96748"/>
    <w:multiLevelType w:val="multilevel"/>
    <w:tmpl w:val="125E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53DDF"/>
    <w:multiLevelType w:val="multilevel"/>
    <w:tmpl w:val="A11E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1204F5"/>
    <w:multiLevelType w:val="hybridMultilevel"/>
    <w:tmpl w:val="BDFCF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02445"/>
    <w:multiLevelType w:val="multilevel"/>
    <w:tmpl w:val="426024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4280692A"/>
    <w:multiLevelType w:val="multilevel"/>
    <w:tmpl w:val="428069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5A87100"/>
    <w:multiLevelType w:val="multilevel"/>
    <w:tmpl w:val="45A871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C145575"/>
    <w:multiLevelType w:val="multilevel"/>
    <w:tmpl w:val="5FCE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94273"/>
    <w:multiLevelType w:val="hybridMultilevel"/>
    <w:tmpl w:val="F42A8814"/>
    <w:lvl w:ilvl="0" w:tplc="04190011">
      <w:start w:val="1"/>
      <w:numFmt w:val="decimal"/>
      <w:lvlText w:val="%1)"/>
      <w:lvlJc w:val="left"/>
      <w:pPr>
        <w:ind w:left="825" w:hanging="46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A35F04"/>
    <w:multiLevelType w:val="multilevel"/>
    <w:tmpl w:val="4FA35F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1D63801"/>
    <w:multiLevelType w:val="multilevel"/>
    <w:tmpl w:val="60263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E27B71"/>
    <w:multiLevelType w:val="multilevel"/>
    <w:tmpl w:val="FBE0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B6C27"/>
    <w:multiLevelType w:val="multilevel"/>
    <w:tmpl w:val="CF8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67146"/>
    <w:multiLevelType w:val="hybridMultilevel"/>
    <w:tmpl w:val="A8345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101C4B"/>
    <w:multiLevelType w:val="multilevel"/>
    <w:tmpl w:val="6B101C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D4C55D9"/>
    <w:multiLevelType w:val="multilevel"/>
    <w:tmpl w:val="742E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96FCE"/>
    <w:multiLevelType w:val="multilevel"/>
    <w:tmpl w:val="0DA6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D252A"/>
    <w:multiLevelType w:val="multilevel"/>
    <w:tmpl w:val="FE0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66C49"/>
    <w:multiLevelType w:val="multilevel"/>
    <w:tmpl w:val="074A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5430E1"/>
    <w:multiLevelType w:val="multilevel"/>
    <w:tmpl w:val="BBD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B76D78"/>
    <w:multiLevelType w:val="multilevel"/>
    <w:tmpl w:val="7BB76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F90123C"/>
    <w:multiLevelType w:val="multilevel"/>
    <w:tmpl w:val="8A70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0"/>
  </w:num>
  <w:num w:numId="4">
    <w:abstractNumId w:val="13"/>
  </w:num>
  <w:num w:numId="5">
    <w:abstractNumId w:val="14"/>
  </w:num>
  <w:num w:numId="6">
    <w:abstractNumId w:val="29"/>
  </w:num>
  <w:num w:numId="7">
    <w:abstractNumId w:val="23"/>
  </w:num>
  <w:num w:numId="8">
    <w:abstractNumId w:val="6"/>
  </w:num>
  <w:num w:numId="9">
    <w:abstractNumId w:val="21"/>
  </w:num>
  <w:num w:numId="10">
    <w:abstractNumId w:val="30"/>
  </w:num>
  <w:num w:numId="11">
    <w:abstractNumId w:val="10"/>
  </w:num>
  <w:num w:numId="12">
    <w:abstractNumId w:val="20"/>
  </w:num>
  <w:num w:numId="13">
    <w:abstractNumId w:val="4"/>
  </w:num>
  <w:num w:numId="14">
    <w:abstractNumId w:val="24"/>
  </w:num>
  <w:num w:numId="15">
    <w:abstractNumId w:val="28"/>
  </w:num>
  <w:num w:numId="16">
    <w:abstractNumId w:val="16"/>
  </w:num>
  <w:num w:numId="17">
    <w:abstractNumId w:val="25"/>
  </w:num>
  <w:num w:numId="18">
    <w:abstractNumId w:val="26"/>
  </w:num>
  <w:num w:numId="19">
    <w:abstractNumId w:val="1"/>
  </w:num>
  <w:num w:numId="20">
    <w:abstractNumId w:val="9"/>
  </w:num>
  <w:num w:numId="21">
    <w:abstractNumId w:val="18"/>
  </w:num>
  <w:num w:numId="22">
    <w:abstractNumId w:val="22"/>
  </w:num>
  <w:num w:numId="23">
    <w:abstractNumId w:val="3"/>
  </w:num>
  <w:num w:numId="24">
    <w:abstractNumId w:val="11"/>
  </w:num>
  <w:num w:numId="25">
    <w:abstractNumId w:val="7"/>
  </w:num>
  <w:num w:numId="26">
    <w:abstractNumId w:val="19"/>
  </w:num>
  <w:num w:numId="27">
    <w:abstractNumId w:val="8"/>
  </w:num>
  <w:num w:numId="28">
    <w:abstractNumId w:val="27"/>
  </w:num>
  <w:num w:numId="29">
    <w:abstractNumId w:val="12"/>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44"/>
    <w:rsid w:val="00052870"/>
    <w:rsid w:val="0005655F"/>
    <w:rsid w:val="00073FA1"/>
    <w:rsid w:val="0009536B"/>
    <w:rsid w:val="00095633"/>
    <w:rsid w:val="00096964"/>
    <w:rsid w:val="000C5E4A"/>
    <w:rsid w:val="000E479F"/>
    <w:rsid w:val="000F0C32"/>
    <w:rsid w:val="0011677C"/>
    <w:rsid w:val="00121584"/>
    <w:rsid w:val="0013792B"/>
    <w:rsid w:val="00195F0C"/>
    <w:rsid w:val="001D6373"/>
    <w:rsid w:val="001F0E6B"/>
    <w:rsid w:val="002353B9"/>
    <w:rsid w:val="002423ED"/>
    <w:rsid w:val="00250E32"/>
    <w:rsid w:val="002565F2"/>
    <w:rsid w:val="002614CD"/>
    <w:rsid w:val="00292B85"/>
    <w:rsid w:val="002C454B"/>
    <w:rsid w:val="002D17EE"/>
    <w:rsid w:val="002D3623"/>
    <w:rsid w:val="002E79D5"/>
    <w:rsid w:val="00342D2D"/>
    <w:rsid w:val="00346506"/>
    <w:rsid w:val="003811BE"/>
    <w:rsid w:val="003D39C6"/>
    <w:rsid w:val="003F0F51"/>
    <w:rsid w:val="003F5D83"/>
    <w:rsid w:val="003F6DA9"/>
    <w:rsid w:val="00431033"/>
    <w:rsid w:val="00435333"/>
    <w:rsid w:val="00462122"/>
    <w:rsid w:val="004676B6"/>
    <w:rsid w:val="004771C5"/>
    <w:rsid w:val="0048572C"/>
    <w:rsid w:val="004A08E1"/>
    <w:rsid w:val="004E01F9"/>
    <w:rsid w:val="004E1866"/>
    <w:rsid w:val="004E2FE2"/>
    <w:rsid w:val="00521AC7"/>
    <w:rsid w:val="0052592F"/>
    <w:rsid w:val="00544318"/>
    <w:rsid w:val="00564734"/>
    <w:rsid w:val="005B35A8"/>
    <w:rsid w:val="005C4BE6"/>
    <w:rsid w:val="006472C4"/>
    <w:rsid w:val="0066590E"/>
    <w:rsid w:val="006B6751"/>
    <w:rsid w:val="0071452E"/>
    <w:rsid w:val="00743711"/>
    <w:rsid w:val="007451C2"/>
    <w:rsid w:val="00745C4B"/>
    <w:rsid w:val="0075428B"/>
    <w:rsid w:val="007625BF"/>
    <w:rsid w:val="00780484"/>
    <w:rsid w:val="0078529C"/>
    <w:rsid w:val="007957E8"/>
    <w:rsid w:val="007A2879"/>
    <w:rsid w:val="007C6946"/>
    <w:rsid w:val="0080580E"/>
    <w:rsid w:val="00835506"/>
    <w:rsid w:val="00835535"/>
    <w:rsid w:val="00843ACD"/>
    <w:rsid w:val="00844989"/>
    <w:rsid w:val="008471C0"/>
    <w:rsid w:val="008558B6"/>
    <w:rsid w:val="0088380C"/>
    <w:rsid w:val="00885A80"/>
    <w:rsid w:val="008B4F10"/>
    <w:rsid w:val="008D1CF1"/>
    <w:rsid w:val="00935CE2"/>
    <w:rsid w:val="009D7FB7"/>
    <w:rsid w:val="009E60B2"/>
    <w:rsid w:val="009E70CD"/>
    <w:rsid w:val="00A03A37"/>
    <w:rsid w:val="00A12517"/>
    <w:rsid w:val="00A2387E"/>
    <w:rsid w:val="00A47A44"/>
    <w:rsid w:val="00A47FBF"/>
    <w:rsid w:val="00A6684B"/>
    <w:rsid w:val="00A668B5"/>
    <w:rsid w:val="00A857A4"/>
    <w:rsid w:val="00AB63F9"/>
    <w:rsid w:val="00AB68D4"/>
    <w:rsid w:val="00B10065"/>
    <w:rsid w:val="00B12694"/>
    <w:rsid w:val="00B244E7"/>
    <w:rsid w:val="00B4537E"/>
    <w:rsid w:val="00B9086D"/>
    <w:rsid w:val="00BD6565"/>
    <w:rsid w:val="00C03842"/>
    <w:rsid w:val="00C10DDC"/>
    <w:rsid w:val="00C132EB"/>
    <w:rsid w:val="00C14069"/>
    <w:rsid w:val="00C23FF1"/>
    <w:rsid w:val="00C43C7A"/>
    <w:rsid w:val="00C56F9C"/>
    <w:rsid w:val="00C5758D"/>
    <w:rsid w:val="00C77DDC"/>
    <w:rsid w:val="00C90FE2"/>
    <w:rsid w:val="00CA5D1C"/>
    <w:rsid w:val="00D46DAD"/>
    <w:rsid w:val="00DE627D"/>
    <w:rsid w:val="00DE7084"/>
    <w:rsid w:val="00DF3C08"/>
    <w:rsid w:val="00DF7CC4"/>
    <w:rsid w:val="00E12005"/>
    <w:rsid w:val="00E272D0"/>
    <w:rsid w:val="00E31A6B"/>
    <w:rsid w:val="00E64644"/>
    <w:rsid w:val="00E652BA"/>
    <w:rsid w:val="00EB2971"/>
    <w:rsid w:val="00EC0801"/>
    <w:rsid w:val="00F21932"/>
    <w:rsid w:val="00F55F48"/>
    <w:rsid w:val="00F70993"/>
    <w:rsid w:val="00F8082B"/>
    <w:rsid w:val="00F82288"/>
    <w:rsid w:val="00F8517B"/>
    <w:rsid w:val="00FE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CF21"/>
  <w15:chartTrackingRefBased/>
  <w15:docId w15:val="{9FDA3E24-7F1D-40FD-B56D-91D681F7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0C"/>
    <w:rPr>
      <w:lang w:val="en-US"/>
    </w:rPr>
  </w:style>
  <w:style w:type="paragraph" w:styleId="1">
    <w:name w:val="heading 1"/>
    <w:basedOn w:val="a"/>
    <w:next w:val="a"/>
    <w:link w:val="10"/>
    <w:uiPriority w:val="9"/>
    <w:qFormat/>
    <w:rsid w:val="003F5D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E70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10D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A47A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3F5D8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F5D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D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D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D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D83"/>
    <w:rPr>
      <w:rFonts w:asciiTheme="majorHAnsi" w:eastAsiaTheme="majorEastAsia" w:hAnsiTheme="majorHAnsi" w:cstheme="majorBidi"/>
      <w:color w:val="2E74B5" w:themeColor="accent1" w:themeShade="BF"/>
      <w:sz w:val="40"/>
      <w:szCs w:val="40"/>
      <w:lang w:val="en-US"/>
    </w:rPr>
  </w:style>
  <w:style w:type="character" w:customStyle="1" w:styleId="20">
    <w:name w:val="Заголовок 2 Знак"/>
    <w:basedOn w:val="a0"/>
    <w:link w:val="2"/>
    <w:uiPriority w:val="9"/>
    <w:semiHidden/>
    <w:rsid w:val="009E70CD"/>
    <w:rPr>
      <w:rFonts w:asciiTheme="majorHAnsi" w:eastAsiaTheme="majorEastAsia" w:hAnsiTheme="majorHAnsi" w:cstheme="majorBidi"/>
      <w:color w:val="2E74B5" w:themeColor="accent1" w:themeShade="BF"/>
      <w:sz w:val="26"/>
      <w:szCs w:val="26"/>
      <w:lang w:val="en-US"/>
    </w:rPr>
  </w:style>
  <w:style w:type="character" w:customStyle="1" w:styleId="30">
    <w:name w:val="Заголовок 3 Знак"/>
    <w:basedOn w:val="a0"/>
    <w:link w:val="3"/>
    <w:uiPriority w:val="9"/>
    <w:semiHidden/>
    <w:rsid w:val="00C10DDC"/>
    <w:rPr>
      <w:rFonts w:asciiTheme="majorHAnsi" w:eastAsiaTheme="majorEastAsia" w:hAnsiTheme="majorHAnsi" w:cstheme="majorBidi"/>
      <w:color w:val="1F4D78" w:themeColor="accent1" w:themeShade="7F"/>
      <w:sz w:val="24"/>
      <w:szCs w:val="24"/>
      <w:lang w:val="en-US"/>
    </w:rPr>
  </w:style>
  <w:style w:type="character" w:customStyle="1" w:styleId="40">
    <w:name w:val="Заголовок 4 Знак"/>
    <w:basedOn w:val="a0"/>
    <w:link w:val="4"/>
    <w:uiPriority w:val="9"/>
    <w:rsid w:val="00A47A44"/>
    <w:rPr>
      <w:rFonts w:ascii="Times New Roman" w:eastAsia="Times New Roman" w:hAnsi="Times New Roman" w:cs="Times New Roman"/>
      <w:b/>
      <w:bCs/>
      <w:sz w:val="24"/>
      <w:szCs w:val="24"/>
      <w:lang w:val="en-US"/>
    </w:rPr>
  </w:style>
  <w:style w:type="character" w:customStyle="1" w:styleId="50">
    <w:name w:val="Заголовок 5 Знак"/>
    <w:basedOn w:val="a0"/>
    <w:link w:val="5"/>
    <w:uiPriority w:val="9"/>
    <w:semiHidden/>
    <w:rsid w:val="003F5D83"/>
    <w:rPr>
      <w:rFonts w:eastAsiaTheme="majorEastAsia" w:cstheme="majorBidi"/>
      <w:color w:val="2E74B5" w:themeColor="accent1" w:themeShade="BF"/>
      <w:lang w:val="en-US"/>
    </w:rPr>
  </w:style>
  <w:style w:type="table" w:customStyle="1" w:styleId="TableNormal1">
    <w:name w:val="Table Normal1"/>
    <w:uiPriority w:val="2"/>
    <w:semiHidden/>
    <w:unhideWhenUsed/>
    <w:qFormat/>
    <w:rsid w:val="00A47A44"/>
    <w:pPr>
      <w:widowControl w:val="0"/>
      <w:spacing w:after="0" w:line="240" w:lineRule="auto"/>
    </w:pPr>
    <w:rPr>
      <w:sz w:val="20"/>
      <w:szCs w:val="20"/>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A47A44"/>
    <w:pPr>
      <w:widowControl w:val="0"/>
      <w:spacing w:after="0" w:line="240" w:lineRule="auto"/>
    </w:pPr>
  </w:style>
  <w:style w:type="paragraph" w:styleId="a3">
    <w:name w:val="List Paragraph"/>
    <w:basedOn w:val="a"/>
    <w:qFormat/>
    <w:rsid w:val="00A47A44"/>
    <w:pPr>
      <w:ind w:left="720"/>
      <w:contextualSpacing/>
    </w:pPr>
  </w:style>
  <w:style w:type="table" w:styleId="a4">
    <w:name w:val="Table Grid"/>
    <w:basedOn w:val="a1"/>
    <w:uiPriority w:val="39"/>
    <w:rsid w:val="00A47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45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1452E"/>
    <w:rPr>
      <w:rFonts w:ascii="Segoe UI" w:hAnsi="Segoe UI" w:cs="Segoe UI"/>
      <w:sz w:val="18"/>
      <w:szCs w:val="18"/>
      <w:lang w:val="en-US"/>
    </w:rPr>
  </w:style>
  <w:style w:type="paragraph" w:styleId="a7">
    <w:name w:val="Normal (Web)"/>
    <w:basedOn w:val="a"/>
    <w:uiPriority w:val="99"/>
    <w:unhideWhenUsed/>
    <w:rsid w:val="00DE627D"/>
    <w:pPr>
      <w:spacing w:after="0" w:line="240" w:lineRule="auto"/>
      <w:ind w:firstLine="567"/>
      <w:jc w:val="both"/>
    </w:pPr>
    <w:rPr>
      <w:rFonts w:ascii="Times New Roman" w:eastAsiaTheme="minorEastAsia" w:hAnsi="Times New Roman" w:cs="Times New Roman"/>
      <w:sz w:val="24"/>
      <w:szCs w:val="24"/>
      <w:lang w:val="ru-RU" w:eastAsia="ru-RU"/>
    </w:rPr>
  </w:style>
  <w:style w:type="character" w:styleId="a8">
    <w:name w:val="Strong"/>
    <w:basedOn w:val="a0"/>
    <w:uiPriority w:val="22"/>
    <w:qFormat/>
    <w:rsid w:val="00C10DDC"/>
    <w:rPr>
      <w:b/>
      <w:bCs/>
    </w:rPr>
  </w:style>
  <w:style w:type="paragraph" w:styleId="a9">
    <w:name w:val="header"/>
    <w:basedOn w:val="a"/>
    <w:link w:val="aa"/>
    <w:uiPriority w:val="99"/>
    <w:unhideWhenUsed/>
    <w:rsid w:val="00292B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92B85"/>
    <w:rPr>
      <w:lang w:val="en-US"/>
    </w:rPr>
  </w:style>
  <w:style w:type="paragraph" w:styleId="ab">
    <w:name w:val="footer"/>
    <w:basedOn w:val="a"/>
    <w:link w:val="ac"/>
    <w:uiPriority w:val="99"/>
    <w:unhideWhenUsed/>
    <w:rsid w:val="00292B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2B85"/>
    <w:rPr>
      <w:lang w:val="en-US"/>
    </w:rPr>
  </w:style>
  <w:style w:type="paragraph" w:styleId="ad">
    <w:name w:val="footnote text"/>
    <w:basedOn w:val="a"/>
    <w:link w:val="ae"/>
    <w:uiPriority w:val="99"/>
    <w:semiHidden/>
    <w:unhideWhenUsed/>
    <w:rsid w:val="00B244E7"/>
    <w:pPr>
      <w:spacing w:after="0" w:line="240" w:lineRule="auto"/>
    </w:pPr>
    <w:rPr>
      <w:sz w:val="20"/>
      <w:szCs w:val="20"/>
    </w:rPr>
  </w:style>
  <w:style w:type="character" w:customStyle="1" w:styleId="ae">
    <w:name w:val="Текст сноски Знак"/>
    <w:basedOn w:val="a0"/>
    <w:link w:val="ad"/>
    <w:uiPriority w:val="99"/>
    <w:semiHidden/>
    <w:rsid w:val="00B244E7"/>
    <w:rPr>
      <w:sz w:val="20"/>
      <w:szCs w:val="20"/>
      <w:lang w:val="en-US"/>
    </w:rPr>
  </w:style>
  <w:style w:type="character" w:styleId="af">
    <w:name w:val="footnote reference"/>
    <w:basedOn w:val="a0"/>
    <w:uiPriority w:val="99"/>
    <w:semiHidden/>
    <w:unhideWhenUsed/>
    <w:rsid w:val="00B244E7"/>
    <w:rPr>
      <w:vertAlign w:val="superscript"/>
    </w:rPr>
  </w:style>
  <w:style w:type="character" w:styleId="af0">
    <w:name w:val="Hyperlink"/>
    <w:basedOn w:val="a0"/>
    <w:uiPriority w:val="99"/>
    <w:unhideWhenUsed/>
    <w:rsid w:val="00B244E7"/>
    <w:rPr>
      <w:color w:val="0563C1" w:themeColor="hyperlink"/>
      <w:u w:val="single"/>
    </w:rPr>
  </w:style>
  <w:style w:type="character" w:customStyle="1" w:styleId="60">
    <w:name w:val="Заголовок 6 Знак"/>
    <w:basedOn w:val="a0"/>
    <w:link w:val="6"/>
    <w:uiPriority w:val="9"/>
    <w:semiHidden/>
    <w:rsid w:val="003F5D83"/>
    <w:rPr>
      <w:rFonts w:eastAsiaTheme="majorEastAsia" w:cstheme="majorBidi"/>
      <w:i/>
      <w:iCs/>
      <w:color w:val="595959" w:themeColor="text1" w:themeTint="A6"/>
      <w:lang w:val="en-US"/>
    </w:rPr>
  </w:style>
  <w:style w:type="character" w:customStyle="1" w:styleId="70">
    <w:name w:val="Заголовок 7 Знак"/>
    <w:basedOn w:val="a0"/>
    <w:link w:val="7"/>
    <w:uiPriority w:val="9"/>
    <w:semiHidden/>
    <w:rsid w:val="003F5D83"/>
    <w:rPr>
      <w:rFonts w:eastAsiaTheme="majorEastAsia" w:cstheme="majorBidi"/>
      <w:color w:val="595959" w:themeColor="text1" w:themeTint="A6"/>
      <w:lang w:val="en-US"/>
    </w:rPr>
  </w:style>
  <w:style w:type="character" w:customStyle="1" w:styleId="80">
    <w:name w:val="Заголовок 8 Знак"/>
    <w:basedOn w:val="a0"/>
    <w:link w:val="8"/>
    <w:uiPriority w:val="9"/>
    <w:semiHidden/>
    <w:rsid w:val="003F5D83"/>
    <w:rPr>
      <w:rFonts w:eastAsiaTheme="majorEastAsia" w:cstheme="majorBidi"/>
      <w:i/>
      <w:iCs/>
      <w:color w:val="272727" w:themeColor="text1" w:themeTint="D8"/>
      <w:lang w:val="en-US"/>
    </w:rPr>
  </w:style>
  <w:style w:type="character" w:customStyle="1" w:styleId="90">
    <w:name w:val="Заголовок 9 Знак"/>
    <w:basedOn w:val="a0"/>
    <w:link w:val="9"/>
    <w:uiPriority w:val="9"/>
    <w:semiHidden/>
    <w:rsid w:val="003F5D83"/>
    <w:rPr>
      <w:rFonts w:eastAsiaTheme="majorEastAsia" w:cstheme="majorBidi"/>
      <w:color w:val="272727" w:themeColor="text1" w:themeTint="D8"/>
      <w:lang w:val="en-US"/>
    </w:rPr>
  </w:style>
  <w:style w:type="paragraph" w:styleId="af1">
    <w:name w:val="Title"/>
    <w:basedOn w:val="a"/>
    <w:next w:val="a"/>
    <w:link w:val="af2"/>
    <w:uiPriority w:val="10"/>
    <w:qFormat/>
    <w:rsid w:val="003F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3F5D83"/>
    <w:rPr>
      <w:rFonts w:asciiTheme="majorHAnsi" w:eastAsiaTheme="majorEastAsia" w:hAnsiTheme="majorHAnsi" w:cstheme="majorBidi"/>
      <w:spacing w:val="-10"/>
      <w:kern w:val="28"/>
      <w:sz w:val="56"/>
      <w:szCs w:val="56"/>
      <w:lang w:val="en-US"/>
    </w:rPr>
  </w:style>
  <w:style w:type="paragraph" w:styleId="af3">
    <w:name w:val="Subtitle"/>
    <w:basedOn w:val="a"/>
    <w:next w:val="a"/>
    <w:link w:val="af4"/>
    <w:uiPriority w:val="11"/>
    <w:qFormat/>
    <w:rsid w:val="003F5D83"/>
    <w:pPr>
      <w:numPr>
        <w:ilvl w:val="1"/>
      </w:numPr>
    </w:pPr>
    <w:rPr>
      <w:rFonts w:eastAsiaTheme="majorEastAsia" w:cstheme="majorBidi"/>
      <w:color w:val="595959" w:themeColor="text1" w:themeTint="A6"/>
      <w:spacing w:val="15"/>
      <w:sz w:val="28"/>
      <w:szCs w:val="28"/>
    </w:rPr>
  </w:style>
  <w:style w:type="character" w:customStyle="1" w:styleId="af4">
    <w:name w:val="Подзаголовок Знак"/>
    <w:basedOn w:val="a0"/>
    <w:link w:val="af3"/>
    <w:uiPriority w:val="11"/>
    <w:rsid w:val="003F5D83"/>
    <w:rPr>
      <w:rFonts w:eastAsiaTheme="majorEastAsia" w:cstheme="majorBidi"/>
      <w:color w:val="595959" w:themeColor="text1" w:themeTint="A6"/>
      <w:spacing w:val="15"/>
      <w:sz w:val="28"/>
      <w:szCs w:val="28"/>
      <w:lang w:val="en-US"/>
    </w:rPr>
  </w:style>
  <w:style w:type="paragraph" w:styleId="21">
    <w:name w:val="Quote"/>
    <w:basedOn w:val="a"/>
    <w:next w:val="a"/>
    <w:link w:val="22"/>
    <w:uiPriority w:val="29"/>
    <w:qFormat/>
    <w:rsid w:val="003F5D83"/>
    <w:pPr>
      <w:spacing w:before="160"/>
      <w:jc w:val="center"/>
    </w:pPr>
    <w:rPr>
      <w:i/>
      <w:iCs/>
      <w:color w:val="404040" w:themeColor="text1" w:themeTint="BF"/>
    </w:rPr>
  </w:style>
  <w:style w:type="character" w:customStyle="1" w:styleId="22">
    <w:name w:val="Цитата 2 Знак"/>
    <w:basedOn w:val="a0"/>
    <w:link w:val="21"/>
    <w:uiPriority w:val="29"/>
    <w:rsid w:val="003F5D83"/>
    <w:rPr>
      <w:i/>
      <w:iCs/>
      <w:color w:val="404040" w:themeColor="text1" w:themeTint="BF"/>
      <w:lang w:val="en-US"/>
    </w:rPr>
  </w:style>
  <w:style w:type="character" w:styleId="af5">
    <w:name w:val="Intense Emphasis"/>
    <w:basedOn w:val="a0"/>
    <w:uiPriority w:val="21"/>
    <w:qFormat/>
    <w:rsid w:val="003F5D83"/>
    <w:rPr>
      <w:i/>
      <w:iCs/>
      <w:color w:val="2E74B5" w:themeColor="accent1" w:themeShade="BF"/>
    </w:rPr>
  </w:style>
  <w:style w:type="paragraph" w:styleId="af6">
    <w:name w:val="Intense Quote"/>
    <w:basedOn w:val="a"/>
    <w:next w:val="a"/>
    <w:link w:val="af7"/>
    <w:uiPriority w:val="30"/>
    <w:qFormat/>
    <w:rsid w:val="003F5D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7">
    <w:name w:val="Выделенная цитата Знак"/>
    <w:basedOn w:val="a0"/>
    <w:link w:val="af6"/>
    <w:uiPriority w:val="30"/>
    <w:rsid w:val="003F5D83"/>
    <w:rPr>
      <w:i/>
      <w:iCs/>
      <w:color w:val="2E74B5" w:themeColor="accent1" w:themeShade="BF"/>
      <w:lang w:val="en-US"/>
    </w:rPr>
  </w:style>
  <w:style w:type="character" w:styleId="af8">
    <w:name w:val="Intense Reference"/>
    <w:basedOn w:val="a0"/>
    <w:uiPriority w:val="32"/>
    <w:qFormat/>
    <w:rsid w:val="003F5D83"/>
    <w:rPr>
      <w:b/>
      <w:bCs/>
      <w:smallCaps/>
      <w:color w:val="2E74B5" w:themeColor="accent1" w:themeShade="BF"/>
      <w:spacing w:val="5"/>
    </w:rPr>
  </w:style>
  <w:style w:type="character" w:customStyle="1" w:styleId="af9">
    <w:name w:val="Текст концевой сноски Знак"/>
    <w:basedOn w:val="a0"/>
    <w:link w:val="afa"/>
    <w:uiPriority w:val="99"/>
    <w:semiHidden/>
    <w:rsid w:val="003F5D83"/>
    <w:rPr>
      <w:sz w:val="20"/>
      <w:szCs w:val="20"/>
      <w:lang w:val="en-US"/>
    </w:rPr>
  </w:style>
  <w:style w:type="paragraph" w:styleId="afa">
    <w:name w:val="endnote text"/>
    <w:basedOn w:val="a"/>
    <w:link w:val="af9"/>
    <w:uiPriority w:val="99"/>
    <w:semiHidden/>
    <w:unhideWhenUsed/>
    <w:rsid w:val="003F5D83"/>
    <w:pPr>
      <w:spacing w:after="0" w:line="240" w:lineRule="auto"/>
    </w:pPr>
    <w:rPr>
      <w:sz w:val="20"/>
      <w:szCs w:val="20"/>
    </w:rPr>
  </w:style>
  <w:style w:type="character" w:customStyle="1" w:styleId="t286pc">
    <w:name w:val="t286pc"/>
    <w:basedOn w:val="a0"/>
    <w:rsid w:val="003F6DA9"/>
  </w:style>
  <w:style w:type="character" w:customStyle="1" w:styleId="ypks7kbdpwfgdykd3qb9">
    <w:name w:val="ypks7kbdpwfgdykd3qb9"/>
    <w:basedOn w:val="a0"/>
    <w:rsid w:val="00FE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58858">
      <w:bodyDiv w:val="1"/>
      <w:marLeft w:val="0"/>
      <w:marRight w:val="0"/>
      <w:marTop w:val="0"/>
      <w:marBottom w:val="0"/>
      <w:divBdr>
        <w:top w:val="none" w:sz="0" w:space="0" w:color="auto"/>
        <w:left w:val="none" w:sz="0" w:space="0" w:color="auto"/>
        <w:bottom w:val="none" w:sz="0" w:space="0" w:color="auto"/>
        <w:right w:val="none" w:sz="0" w:space="0" w:color="auto"/>
      </w:divBdr>
    </w:div>
    <w:div w:id="181821906">
      <w:bodyDiv w:val="1"/>
      <w:marLeft w:val="0"/>
      <w:marRight w:val="0"/>
      <w:marTop w:val="0"/>
      <w:marBottom w:val="0"/>
      <w:divBdr>
        <w:top w:val="none" w:sz="0" w:space="0" w:color="auto"/>
        <w:left w:val="none" w:sz="0" w:space="0" w:color="auto"/>
        <w:bottom w:val="none" w:sz="0" w:space="0" w:color="auto"/>
        <w:right w:val="none" w:sz="0" w:space="0" w:color="auto"/>
      </w:divBdr>
    </w:div>
    <w:div w:id="518933748">
      <w:bodyDiv w:val="1"/>
      <w:marLeft w:val="0"/>
      <w:marRight w:val="0"/>
      <w:marTop w:val="0"/>
      <w:marBottom w:val="0"/>
      <w:divBdr>
        <w:top w:val="none" w:sz="0" w:space="0" w:color="auto"/>
        <w:left w:val="none" w:sz="0" w:space="0" w:color="auto"/>
        <w:bottom w:val="none" w:sz="0" w:space="0" w:color="auto"/>
        <w:right w:val="none" w:sz="0" w:space="0" w:color="auto"/>
      </w:divBdr>
    </w:div>
    <w:div w:id="578565684">
      <w:bodyDiv w:val="1"/>
      <w:marLeft w:val="0"/>
      <w:marRight w:val="0"/>
      <w:marTop w:val="0"/>
      <w:marBottom w:val="0"/>
      <w:divBdr>
        <w:top w:val="none" w:sz="0" w:space="0" w:color="auto"/>
        <w:left w:val="none" w:sz="0" w:space="0" w:color="auto"/>
        <w:bottom w:val="none" w:sz="0" w:space="0" w:color="auto"/>
        <w:right w:val="none" w:sz="0" w:space="0" w:color="auto"/>
      </w:divBdr>
    </w:div>
    <w:div w:id="605044188">
      <w:bodyDiv w:val="1"/>
      <w:marLeft w:val="0"/>
      <w:marRight w:val="0"/>
      <w:marTop w:val="0"/>
      <w:marBottom w:val="0"/>
      <w:divBdr>
        <w:top w:val="none" w:sz="0" w:space="0" w:color="auto"/>
        <w:left w:val="none" w:sz="0" w:space="0" w:color="auto"/>
        <w:bottom w:val="none" w:sz="0" w:space="0" w:color="auto"/>
        <w:right w:val="none" w:sz="0" w:space="0" w:color="auto"/>
      </w:divBdr>
    </w:div>
    <w:div w:id="718162756">
      <w:bodyDiv w:val="1"/>
      <w:marLeft w:val="0"/>
      <w:marRight w:val="0"/>
      <w:marTop w:val="0"/>
      <w:marBottom w:val="0"/>
      <w:divBdr>
        <w:top w:val="none" w:sz="0" w:space="0" w:color="auto"/>
        <w:left w:val="none" w:sz="0" w:space="0" w:color="auto"/>
        <w:bottom w:val="none" w:sz="0" w:space="0" w:color="auto"/>
        <w:right w:val="none" w:sz="0" w:space="0" w:color="auto"/>
      </w:divBdr>
    </w:div>
    <w:div w:id="919099378">
      <w:bodyDiv w:val="1"/>
      <w:marLeft w:val="0"/>
      <w:marRight w:val="0"/>
      <w:marTop w:val="0"/>
      <w:marBottom w:val="0"/>
      <w:divBdr>
        <w:top w:val="none" w:sz="0" w:space="0" w:color="auto"/>
        <w:left w:val="none" w:sz="0" w:space="0" w:color="auto"/>
        <w:bottom w:val="none" w:sz="0" w:space="0" w:color="auto"/>
        <w:right w:val="none" w:sz="0" w:space="0" w:color="auto"/>
      </w:divBdr>
    </w:div>
    <w:div w:id="1109007874">
      <w:bodyDiv w:val="1"/>
      <w:marLeft w:val="0"/>
      <w:marRight w:val="0"/>
      <w:marTop w:val="0"/>
      <w:marBottom w:val="0"/>
      <w:divBdr>
        <w:top w:val="none" w:sz="0" w:space="0" w:color="auto"/>
        <w:left w:val="none" w:sz="0" w:space="0" w:color="auto"/>
        <w:bottom w:val="none" w:sz="0" w:space="0" w:color="auto"/>
        <w:right w:val="none" w:sz="0" w:space="0" w:color="auto"/>
      </w:divBdr>
    </w:div>
    <w:div w:id="1287128645">
      <w:bodyDiv w:val="1"/>
      <w:marLeft w:val="0"/>
      <w:marRight w:val="0"/>
      <w:marTop w:val="0"/>
      <w:marBottom w:val="0"/>
      <w:divBdr>
        <w:top w:val="none" w:sz="0" w:space="0" w:color="auto"/>
        <w:left w:val="none" w:sz="0" w:space="0" w:color="auto"/>
        <w:bottom w:val="none" w:sz="0" w:space="0" w:color="auto"/>
        <w:right w:val="none" w:sz="0" w:space="0" w:color="auto"/>
      </w:divBdr>
      <w:divsChild>
        <w:div w:id="76172110">
          <w:marLeft w:val="0"/>
          <w:marRight w:val="0"/>
          <w:marTop w:val="180"/>
          <w:marBottom w:val="240"/>
          <w:divBdr>
            <w:top w:val="none" w:sz="0" w:space="0" w:color="auto"/>
            <w:left w:val="none" w:sz="0" w:space="0" w:color="auto"/>
            <w:bottom w:val="none" w:sz="0" w:space="0" w:color="auto"/>
            <w:right w:val="none" w:sz="0" w:space="0" w:color="auto"/>
          </w:divBdr>
        </w:div>
        <w:div w:id="68621935">
          <w:marLeft w:val="0"/>
          <w:marRight w:val="0"/>
          <w:marTop w:val="180"/>
          <w:marBottom w:val="240"/>
          <w:divBdr>
            <w:top w:val="none" w:sz="0" w:space="0" w:color="auto"/>
            <w:left w:val="none" w:sz="0" w:space="0" w:color="auto"/>
            <w:bottom w:val="none" w:sz="0" w:space="0" w:color="auto"/>
            <w:right w:val="none" w:sz="0" w:space="0" w:color="auto"/>
          </w:divBdr>
        </w:div>
        <w:div w:id="1773546189">
          <w:marLeft w:val="0"/>
          <w:marRight w:val="0"/>
          <w:marTop w:val="180"/>
          <w:marBottom w:val="240"/>
          <w:divBdr>
            <w:top w:val="none" w:sz="0" w:space="0" w:color="auto"/>
            <w:left w:val="none" w:sz="0" w:space="0" w:color="auto"/>
            <w:bottom w:val="none" w:sz="0" w:space="0" w:color="auto"/>
            <w:right w:val="none" w:sz="0" w:space="0" w:color="auto"/>
          </w:divBdr>
        </w:div>
        <w:div w:id="333145103">
          <w:marLeft w:val="0"/>
          <w:marRight w:val="0"/>
          <w:marTop w:val="180"/>
          <w:marBottom w:val="240"/>
          <w:divBdr>
            <w:top w:val="none" w:sz="0" w:space="0" w:color="auto"/>
            <w:left w:val="none" w:sz="0" w:space="0" w:color="auto"/>
            <w:bottom w:val="none" w:sz="0" w:space="0" w:color="auto"/>
            <w:right w:val="none" w:sz="0" w:space="0" w:color="auto"/>
          </w:divBdr>
        </w:div>
        <w:div w:id="343017057">
          <w:marLeft w:val="0"/>
          <w:marRight w:val="0"/>
          <w:marTop w:val="180"/>
          <w:marBottom w:val="240"/>
          <w:divBdr>
            <w:top w:val="none" w:sz="0" w:space="0" w:color="auto"/>
            <w:left w:val="none" w:sz="0" w:space="0" w:color="auto"/>
            <w:bottom w:val="none" w:sz="0" w:space="0" w:color="auto"/>
            <w:right w:val="none" w:sz="0" w:space="0" w:color="auto"/>
          </w:divBdr>
        </w:div>
      </w:divsChild>
    </w:div>
    <w:div w:id="1445270138">
      <w:bodyDiv w:val="1"/>
      <w:marLeft w:val="0"/>
      <w:marRight w:val="0"/>
      <w:marTop w:val="0"/>
      <w:marBottom w:val="0"/>
      <w:divBdr>
        <w:top w:val="none" w:sz="0" w:space="0" w:color="auto"/>
        <w:left w:val="none" w:sz="0" w:space="0" w:color="auto"/>
        <w:bottom w:val="none" w:sz="0" w:space="0" w:color="auto"/>
        <w:right w:val="none" w:sz="0" w:space="0" w:color="auto"/>
      </w:divBdr>
      <w:divsChild>
        <w:div w:id="343947197">
          <w:marLeft w:val="0"/>
          <w:marRight w:val="0"/>
          <w:marTop w:val="0"/>
          <w:marBottom w:val="0"/>
          <w:divBdr>
            <w:top w:val="none" w:sz="0" w:space="0" w:color="auto"/>
            <w:left w:val="none" w:sz="0" w:space="0" w:color="auto"/>
            <w:bottom w:val="none" w:sz="0" w:space="0" w:color="auto"/>
            <w:right w:val="none" w:sz="0" w:space="0" w:color="auto"/>
          </w:divBdr>
          <w:divsChild>
            <w:div w:id="5785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6271">
      <w:bodyDiv w:val="1"/>
      <w:marLeft w:val="0"/>
      <w:marRight w:val="0"/>
      <w:marTop w:val="0"/>
      <w:marBottom w:val="0"/>
      <w:divBdr>
        <w:top w:val="none" w:sz="0" w:space="0" w:color="auto"/>
        <w:left w:val="none" w:sz="0" w:space="0" w:color="auto"/>
        <w:bottom w:val="none" w:sz="0" w:space="0" w:color="auto"/>
        <w:right w:val="none" w:sz="0" w:space="0" w:color="auto"/>
      </w:divBdr>
    </w:div>
    <w:div w:id="1947034257">
      <w:bodyDiv w:val="1"/>
      <w:marLeft w:val="0"/>
      <w:marRight w:val="0"/>
      <w:marTop w:val="0"/>
      <w:marBottom w:val="0"/>
      <w:divBdr>
        <w:top w:val="none" w:sz="0" w:space="0" w:color="auto"/>
        <w:left w:val="none" w:sz="0" w:space="0" w:color="auto"/>
        <w:bottom w:val="none" w:sz="0" w:space="0" w:color="auto"/>
        <w:right w:val="none" w:sz="0" w:space="0" w:color="auto"/>
      </w:divBdr>
    </w:div>
    <w:div w:id="1948392194">
      <w:bodyDiv w:val="1"/>
      <w:marLeft w:val="0"/>
      <w:marRight w:val="0"/>
      <w:marTop w:val="0"/>
      <w:marBottom w:val="0"/>
      <w:divBdr>
        <w:top w:val="none" w:sz="0" w:space="0" w:color="auto"/>
        <w:left w:val="none" w:sz="0" w:space="0" w:color="auto"/>
        <w:bottom w:val="none" w:sz="0" w:space="0" w:color="auto"/>
        <w:right w:val="none" w:sz="0" w:space="0" w:color="auto"/>
      </w:divBdr>
    </w:div>
    <w:div w:id="206124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3.xml"/><Relationship Id="rId26" Type="http://schemas.openxmlformats.org/officeDocument/2006/relationships/chart" Target="charts/chart6.xml"/><Relationship Id="rId39" Type="http://schemas.openxmlformats.org/officeDocument/2006/relationships/hyperlink" Target="https://statbank.statistica.md/PxWeb/pxweb/ro/60%20Statistica%20regionala/60%20Statistica%20regionala__01%20MED/MED020500reg.px/table/tableViewLayout2/?rxid=5360837a-13b5-4912-a2e0-12892e96d2ab" TargetMode="External"/><Relationship Id="rId21" Type="http://schemas.openxmlformats.org/officeDocument/2006/relationships/hyperlink" Target="https://statistica.gov.md/ro/demografia-intreprinderilor-in-republica-moldova-in-anul-2023-9557_62184.html?utm_source=chatgpt.com" TargetMode="External"/><Relationship Id="rId34" Type="http://schemas.openxmlformats.org/officeDocument/2006/relationships/hyperlink" Target="https://econutag.md/itogi-soczialno-ekonomicheskogo-razvitiya-gagauzii-za-2024-god/?utm_source=chatgpt.com" TargetMode="External"/><Relationship Id="rId42" Type="http://schemas.openxmlformats.org/officeDocument/2006/relationships/hyperlink" Target="https://statistica.gov.md/ro/activitatea-sistemelor-publice-de-alimentare-cu-apa-si-de-9780_61786.html?utm_source=chatgpt.com" TargetMode="External"/><Relationship Id="rId47" Type="http://schemas.openxmlformats.org/officeDocument/2006/relationships/hyperlink" Target="https://statbank.statistica.md/PxWeb/pxweb/ro/20%20Populatia%20si%20procesele%20demografice/20%20Populatia%20si%20procesele%20demografice__POP010__POPro/POP010400rclreg.px/?utm_source=chatgpt.com" TargetMode="External"/><Relationship Id="rId50" Type="http://schemas.openxmlformats.org/officeDocument/2006/relationships/hyperlink" Target="http://www.project.gov.m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bank.statistica.md/PxWeb/pxweb/ro/60%20Statistica%20regionala/60%20Statistica%20regionala__13%20CNT/CNT270100reg.px/table/tableViewLayout2/" TargetMode="External"/><Relationship Id="rId29" Type="http://schemas.openxmlformats.org/officeDocument/2006/relationships/hyperlink" Target="https://statbank.statistica.md/PxWeb/pxweb/ro/60%20Statistica%20regionala/60%20Statistica%20regionala__02%20POP/POP021300reg.px/" TargetMode="External"/><Relationship Id="rId11" Type="http://schemas.openxmlformats.org/officeDocument/2006/relationships/hyperlink" Target="https://statbank.statistica.md/PxWeb/pxweb/ro/20%20Populatia%20si%20procesele%20demografice/20%20Populatia%20si%20procesele%20demografice__POP010__POPro/POP010400rclreg.px/?utm_source=chatgpt.com" TargetMode="External"/><Relationship Id="rId24" Type="http://schemas.openxmlformats.org/officeDocument/2006/relationships/chart" Target="charts/chart5.xml"/><Relationship Id="rId32" Type="http://schemas.openxmlformats.org/officeDocument/2006/relationships/hyperlink" Target="https://statbank.statistica.md/PxWeb/pxweb/ro/60%20Statistica%20regionala/60%20Statistica%20regionala__17%20ICF/IAI010200reg.px/" TargetMode="External"/><Relationship Id="rId37" Type="http://schemas.openxmlformats.org/officeDocument/2006/relationships/chart" Target="charts/chart9.xml"/><Relationship Id="rId40" Type="http://schemas.openxmlformats.org/officeDocument/2006/relationships/hyperlink" Target="https://statbank.statistica.md/PxWeb/pxweb/ro/60%20Statistica%20regionala/60%20Statistica%20regionala__01%20MED/MED020600reg.px/table/tableViewLayout2/?rxid=5360837a-13b5-4912-a2e0-12892e96d2ab" TargetMode="External"/><Relationship Id="rId45" Type="http://schemas.openxmlformats.org/officeDocument/2006/relationships/hyperlink" Target="https://statistica.gov.md/ro/infrastructura-strazilor-din-localitatile-urbane-in-anul-2024-9572_61762.html?utm_source=chatgpt.co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s://statistica.gov.md/ro/statistica-teritoriala-editiile-2013-2021-9673_59649.html?utm_source=chatgpt.com" TargetMode="External"/><Relationship Id="rId31" Type="http://schemas.openxmlformats.org/officeDocument/2006/relationships/hyperlink" Target="https://statistica.gov.md/ru/statistic_indicator_details/60" TargetMode="External"/><Relationship Id="rId44" Type="http://schemas.openxmlformats.org/officeDocument/2006/relationships/chart" Target="charts/chart1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atbank.statistica.md/PxWeb/pxweb/ro/60%20Statistica%20regionala/60%20Statistica%20regionala__13%20CNT/CNT270100reg.px/?rxid=b2ff27d7-0b96-43c9-934b-42e1a2a9a774&amp;utm_source=chatgpt.com" TargetMode="External"/><Relationship Id="rId22" Type="http://schemas.openxmlformats.org/officeDocument/2006/relationships/image" Target="media/image4.png"/><Relationship Id="rId27" Type="http://schemas.openxmlformats.org/officeDocument/2006/relationships/hyperlink" Target="https://statbank.statistica.md/pxweb/pxweb/ro/40%20Statistica%20economica/40%20Statistica%20economica__24%20ANT__ANT020/ANT020150reg.px/?rxid=9a62a0d7-86c4-45da-b7e4-fecc26003802&amp;utm_source=chatgpt.com" TargetMode="External"/><Relationship Id="rId30" Type="http://schemas.openxmlformats.org/officeDocument/2006/relationships/hyperlink" Target="https://statbank.statistica.md/PxWeb/pxweb/ro/30%20Statistica%20sociala/30%20Statistica%20sociala__03%20FM__SAL010__serii%20lunare/SAL014910reg.px/table/tableViewLayout2/" TargetMode="External"/><Relationship Id="rId35" Type="http://schemas.openxmlformats.org/officeDocument/2006/relationships/chart" Target="charts/chart8.xml"/><Relationship Id="rId43" Type="http://schemas.openxmlformats.org/officeDocument/2006/relationships/hyperlink" Target="https://statbank.statistica.md/PxWeb/pxweb/ro/10%20Mediul%20inconjurator/10%20Mediul%20inconjurator__MED040__Municipale/MED060300reg.px/" TargetMode="External"/><Relationship Id="rId48" Type="http://schemas.openxmlformats.org/officeDocument/2006/relationships/hyperlink" Target="https://statbank.statistica.md/PxWeb/pxweb/ro/60%20Statistica%20regionala/60%20Statistica%20regionala__02%20POP/POP07070reg.px/"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statbank.statistica.md/PxWeb/pxweb/ro/60%20Statistica%20regionala/60%20Statistica%20regionala__13%20CNT/CNT270200reg.px/" TargetMode="External"/><Relationship Id="rId25" Type="http://schemas.openxmlformats.org/officeDocument/2006/relationships/hyperlink" Target="https://statbank.statistica.md/PxWeb/pxweb/ro/40%20Statistica%20economica/40%20Statistica%20economica__21%20EXT__EXT010__serii%20anuale/EXT010100.px/table/tableViewLayout2/?rxid=2345d98a-890b-4459-bb1f-9b565f99b3b9" TargetMode="External"/><Relationship Id="rId33" Type="http://schemas.openxmlformats.org/officeDocument/2006/relationships/chart" Target="charts/chart7.xml"/><Relationship Id="rId38" Type="http://schemas.openxmlformats.org/officeDocument/2006/relationships/hyperlink" Target="https://statistica.gov.md/ro/activitatea-sistemelor-publice-de-alimentare-cu-apa-si-de-9780_61786.html?utm_source=chatgpt.com" TargetMode="External"/><Relationship Id="rId46" Type="http://schemas.openxmlformats.org/officeDocument/2006/relationships/hyperlink" Target="https://statbank.statistica.md/PxWeb/pxweb/ro/40%20Statistica%20economica/40%20Statistica%20economica__19%20TRA__TRA010/TRA010300reg.px/" TargetMode="External"/><Relationship Id="rId20" Type="http://schemas.openxmlformats.org/officeDocument/2006/relationships/chart" Target="charts/chart4.xml"/><Relationship Id="rId41"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bank.statistica.md/PxWeb/pxweb/ro/60%20Statistica%20regionala/60%20Statistica%20regionala__13%20CNT/CNT270300reg.px/" TargetMode="External"/><Relationship Id="rId23" Type="http://schemas.openxmlformats.org/officeDocument/2006/relationships/hyperlink" Target="https://econutag.md/itogi-soczialno-ekonomicheskogo-razvitiya-gagauzii-za-2024-god/?utm_source=chatgpt.com" TargetMode="External"/><Relationship Id="rId28" Type="http://schemas.openxmlformats.org/officeDocument/2006/relationships/hyperlink" Target="https://statbank.statistica.md/PxWeb/pxweb/ro/30%20Statistica%20sociala/30%20Statistica%20sociala__03%20FM__03%20MUN__MUN010/MUN111000reg.px/" TargetMode="External"/><Relationship Id="rId36" Type="http://schemas.openxmlformats.org/officeDocument/2006/relationships/hyperlink" Target="https://econutag.md/itogi-soczialno-ekonomicheskogo-razvitiya-gagauzii-za-2024-god/?utm_source=chatgpt.com" TargetMode="External"/><Relationship Id="rId49" Type="http://schemas.openxmlformats.org/officeDocument/2006/relationships/hyperlink" Target="https://statbank.statistica.md/PxWeb/pxweb/ro/20%20Populatia%20si%20procesele%20demografice/20%20Populatia%20si%20procesele%20demografice__POP070/POP07070reg.px/table/tableViewLayout2/?utm_source=chatgp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dgs.un.org/goals/goal6?utm_source=chatgpt.com" TargetMode="External"/><Relationship Id="rId2" Type="http://schemas.openxmlformats.org/officeDocument/2006/relationships/hyperlink" Target="https://econutag.md/itogi-soczialno-ekonomicheskogo-razvitiya-gagauzii-za-2024-god/?utm_source=chatgpt.com" TargetMode="External"/><Relationship Id="rId1" Type="http://schemas.openxmlformats.org/officeDocument/2006/relationships/hyperlink" Target="https://statistica.gov.md/files/files/publicatii_electronice/Statistica_teritoriala/Statistica_teritoriala_2025.pdf?utm_source=chatgpt.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ce363100e335bcb/Desktop/&#1040;&#1056;&#1056;/&#1050;&#1085;&#1080;&#1075;&#1072;2%20&#1084;&#1086;&#110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newno\Downloads\Date_comunicat_apeduct_canalizare_2024%20(1).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newno\Downloads\Date_comunicat_Infrastructura_edilitara_2024%20(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ce363100e335bcb/Desktop/&#1040;&#1056;&#1056;/&#1050;&#1085;&#1080;&#1075;&#1072;2%20&#1084;&#1086;&#11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ce363100e335bcb/Desktop/&#1040;&#1056;&#1056;/&#1050;&#1085;&#1080;&#1075;&#1072;2%20&#1084;&#1086;&#11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6ce363100e335bcb/Desktop/&#1040;&#1056;&#1056;/&#1050;&#1085;&#1080;&#1075;&#1072;2%20&#1084;&#1086;&#11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d.docs.live.net/6ce363100e335bcb/Desktop/&#1040;&#1056;&#1056;/&#1050;&#1085;&#1080;&#1075;&#1072;2%20&#1084;&#1086;&#1103;.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newno\Downloads\Date_comunicat_apeduct_canalizare_2024%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Лист1!$I$11</c:f>
              <c:strCache>
                <c:ptCount val="1"/>
                <c:pt idx="0">
                  <c:v>Удельный вес,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40C-4CE9-B0CC-C0DEF256287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40C-4CE9-B0CC-C0DEF256287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40C-4CE9-B0CC-C0DEF256287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40C-4CE9-B0CC-C0DEF256287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40C-4CE9-B0CC-C0DEF2562870}"/>
              </c:ext>
            </c:extLst>
          </c:dPt>
          <c:dLbls>
            <c:dLbl>
              <c:idx val="0"/>
              <c:layout>
                <c:manualLayout>
                  <c:x val="3.4495080746034065E-2"/>
                  <c:y val="1.1927634574592139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940C-4CE9-B0CC-C0DEF2562870}"/>
                </c:ext>
              </c:extLst>
            </c:dLbl>
            <c:dLbl>
              <c:idx val="1"/>
              <c:layout>
                <c:manualLayout>
                  <c:x val="5.648675150187378E-2"/>
                  <c:y val="-4.5459613740101948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940C-4CE9-B0CC-C0DEF2562870}"/>
                </c:ext>
              </c:extLst>
            </c:dLbl>
            <c:dLbl>
              <c:idx val="2"/>
              <c:layout>
                <c:manualLayout>
                  <c:x val="-8.724591878015657E-3"/>
                  <c:y val="-7.395622091667314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940C-4CE9-B0CC-C0DEF2562870}"/>
                </c:ext>
              </c:extLst>
            </c:dLbl>
            <c:dLbl>
              <c:idx val="3"/>
              <c:layout>
                <c:manualLayout>
                  <c:x val="-8.3006466946109914E-2"/>
                  <c:y val="4.781759825860977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940C-4CE9-B0CC-C0DEF2562870}"/>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Лист1!$G$12:$G$16</c:f>
              <c:strCache>
                <c:ptCount val="5"/>
                <c:pt idx="0">
                  <c:v>РР Кишинев</c:v>
                </c:pt>
                <c:pt idx="1">
                  <c:v>РР Север</c:v>
                </c:pt>
                <c:pt idx="2">
                  <c:v>РР Центр</c:v>
                </c:pt>
                <c:pt idx="3">
                  <c:v>РР Юг</c:v>
                </c:pt>
                <c:pt idx="4">
                  <c:v>РР АТО Гагаузия</c:v>
                </c:pt>
              </c:strCache>
            </c:strRef>
          </c:cat>
          <c:val>
            <c:numRef>
              <c:f>Лист1!$I$12:$I$16</c:f>
              <c:numCache>
                <c:formatCode>General</c:formatCode>
                <c:ptCount val="5"/>
                <c:pt idx="0">
                  <c:v>27.78</c:v>
                </c:pt>
                <c:pt idx="1">
                  <c:v>26.37</c:v>
                </c:pt>
                <c:pt idx="2">
                  <c:v>27.84</c:v>
                </c:pt>
                <c:pt idx="3">
                  <c:v>13.26</c:v>
                </c:pt>
                <c:pt idx="4">
                  <c:v>4.74</c:v>
                </c:pt>
              </c:numCache>
            </c:numRef>
          </c:val>
          <c:extLst>
            <c:ext xmlns:c16="http://schemas.microsoft.com/office/drawing/2014/chart" uri="{C3380CC4-5D6E-409C-BE32-E72D297353CC}">
              <c16:uniqueId val="{0000000A-940C-4CE9-B0CC-C0DEF2562870}"/>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863517060367469E-2"/>
          <c:y val="3.5437675553713674E-2"/>
          <c:w val="0.87180314960629923"/>
          <c:h val="0.77128952408687168"/>
        </c:manualLayout>
      </c:layout>
      <c:barChart>
        <c:barDir val="col"/>
        <c:grouping val="clustered"/>
        <c:varyColors val="0"/>
        <c:ser>
          <c:idx val="0"/>
          <c:order val="0"/>
          <c:spPr>
            <a:solidFill>
              <a:schemeClr val="accent1"/>
            </a:solidFill>
            <a:ln>
              <a:noFill/>
            </a:ln>
            <a:effectLst/>
          </c:spPr>
          <c:invertIfNegative val="0"/>
          <c:dLbls>
            <c:dLbl>
              <c:idx val="0"/>
              <c:tx>
                <c:rich>
                  <a:bodyPr/>
                  <a:lstStyle/>
                  <a:p>
                    <a:fld id="{D8306282-0628-4256-B0D4-E250BE38B7FA}"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E46-4B7A-9116-F97ABA5A5522}"/>
                </c:ext>
              </c:extLst>
            </c:dLbl>
            <c:dLbl>
              <c:idx val="1"/>
              <c:tx>
                <c:rich>
                  <a:bodyPr/>
                  <a:lstStyle/>
                  <a:p>
                    <a:fld id="{96022D76-4F8E-4D08-A9E1-6D41F8FBDBFF}"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E46-4B7A-9116-F97ABA5A5522}"/>
                </c:ext>
              </c:extLst>
            </c:dLbl>
            <c:dLbl>
              <c:idx val="2"/>
              <c:tx>
                <c:rich>
                  <a:bodyPr/>
                  <a:lstStyle/>
                  <a:p>
                    <a:fld id="{28EB0339-D0BC-4FDB-8AE3-59328C628B92}"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E46-4B7A-9116-F97ABA5A5522}"/>
                </c:ext>
              </c:extLst>
            </c:dLbl>
            <c:dLbl>
              <c:idx val="3"/>
              <c:tx>
                <c:rich>
                  <a:bodyPr/>
                  <a:lstStyle/>
                  <a:p>
                    <a:fld id="{0B2E0726-6101-4BB4-AB2D-6484A858B80B}"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E46-4B7A-9116-F97ABA5A5522}"/>
                </c:ext>
              </c:extLst>
            </c:dLbl>
            <c:dLbl>
              <c:idx val="4"/>
              <c:tx>
                <c:rich>
                  <a:bodyPr/>
                  <a:lstStyle/>
                  <a:p>
                    <a:fld id="{49E3CD50-DDA0-471C-9066-B1A7C3089251}"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E46-4B7A-9116-F97ABA5A5522}"/>
                </c:ext>
              </c:extLst>
            </c:dLbl>
            <c:dLbl>
              <c:idx val="5"/>
              <c:tx>
                <c:rich>
                  <a:bodyPr/>
                  <a:lstStyle/>
                  <a:p>
                    <a:fld id="{C80ABC0E-4277-4070-AC8B-21B795A40A0F}"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E46-4B7A-9116-F97ABA5A5522}"/>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'Figura 5'!$A$21:$A$26</c:f>
              <c:strCache>
                <c:ptCount val="6"/>
                <c:pt idx="0">
                  <c:v>Всего</c:v>
                </c:pt>
                <c:pt idx="1">
                  <c:v>РР Мун. Кишинев</c:v>
                </c:pt>
                <c:pt idx="2">
                  <c:v>РР АТО Гагаузия</c:v>
                </c:pt>
                <c:pt idx="3">
                  <c:v>РР Центр </c:v>
                </c:pt>
                <c:pt idx="4">
                  <c:v>РР Юг</c:v>
                </c:pt>
                <c:pt idx="5">
                  <c:v>РР Север</c:v>
                </c:pt>
              </c:strCache>
            </c:strRef>
          </c:cat>
          <c:val>
            <c:numRef>
              <c:f>'Figura 5'!$B$21:$B$26</c:f>
              <c:numCache>
                <c:formatCode>General</c:formatCode>
                <c:ptCount val="6"/>
                <c:pt idx="0">
                  <c:v>9.9</c:v>
                </c:pt>
                <c:pt idx="1">
                  <c:v>65.7</c:v>
                </c:pt>
                <c:pt idx="2">
                  <c:v>28.1</c:v>
                </c:pt>
                <c:pt idx="3">
                  <c:v>11.5</c:v>
                </c:pt>
                <c:pt idx="4">
                  <c:v>7.5</c:v>
                </c:pt>
                <c:pt idx="5">
                  <c:v>5.0999999999999996</c:v>
                </c:pt>
              </c:numCache>
            </c:numRef>
          </c:val>
          <c:extLst>
            <c:ext xmlns:c15="http://schemas.microsoft.com/office/drawing/2012/chart" uri="{02D57815-91ED-43cb-92C2-25804820EDAC}">
              <c15:datalabelsRange>
                <c15:f>'Figura 5'!$B$21:$B$26</c15:f>
                <c15:dlblRangeCache>
                  <c:ptCount val="6"/>
                  <c:pt idx="0">
                    <c:v>9,9</c:v>
                  </c:pt>
                  <c:pt idx="1">
                    <c:v>65,7</c:v>
                  </c:pt>
                  <c:pt idx="2">
                    <c:v>28,1</c:v>
                  </c:pt>
                  <c:pt idx="3">
                    <c:v>11,5</c:v>
                  </c:pt>
                  <c:pt idx="4">
                    <c:v>7,5</c:v>
                  </c:pt>
                  <c:pt idx="5">
                    <c:v>5,1</c:v>
                  </c:pt>
                </c15:dlblRangeCache>
              </c15:datalabelsRange>
            </c:ext>
            <c:ext xmlns:c16="http://schemas.microsoft.com/office/drawing/2014/chart" uri="{C3380CC4-5D6E-409C-BE32-E72D297353CC}">
              <c16:uniqueId val="{00000006-BE46-4B7A-9116-F97ABA5A5522}"/>
            </c:ext>
          </c:extLst>
        </c:ser>
        <c:dLbls>
          <c:dLblPos val="outEnd"/>
          <c:showLegendKey val="0"/>
          <c:showVal val="1"/>
          <c:showCatName val="0"/>
          <c:showSerName val="0"/>
          <c:showPercent val="0"/>
          <c:showBubbleSize val="0"/>
        </c:dLbls>
        <c:gapWidth val="219"/>
        <c:overlap val="-27"/>
        <c:axId val="392680264"/>
        <c:axId val="392679088"/>
      </c:barChart>
      <c:catAx>
        <c:axId val="392680264"/>
        <c:scaling>
          <c:orientation val="minMax"/>
        </c:scaling>
        <c:delete val="0"/>
        <c:axPos val="b"/>
        <c:numFmt formatCode="General"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2679088"/>
        <c:crosses val="autoZero"/>
        <c:auto val="1"/>
        <c:lblAlgn val="ctr"/>
        <c:lblOffset val="100"/>
        <c:noMultiLvlLbl val="0"/>
      </c:catAx>
      <c:valAx>
        <c:axId val="392679088"/>
        <c:scaling>
          <c:orientation val="minMax"/>
          <c:max val="100"/>
        </c:scaling>
        <c:delete val="0"/>
        <c:axPos val="l"/>
        <c:numFmt formatCode="0%" sourceLinked="0"/>
        <c:majorTickMark val="out"/>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2680264"/>
        <c:crosses val="autoZero"/>
        <c:crossBetween val="between"/>
        <c:majorUnit val="20"/>
        <c:dispUnits>
          <c:builtInUnit val="hundred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BB0BC731-017F-4420-AAB9-3E7B146D6F69}"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33A6-4D81-AA76-E1DD1C8008BA}"/>
                </c:ext>
              </c:extLst>
            </c:dLbl>
            <c:dLbl>
              <c:idx val="1"/>
              <c:tx>
                <c:rich>
                  <a:bodyPr/>
                  <a:lstStyle/>
                  <a:p>
                    <a:fld id="{4A9C877D-626B-40AC-B163-C01DB0B48CB5}"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3A6-4D81-AA76-E1DD1C8008BA}"/>
                </c:ext>
              </c:extLst>
            </c:dLbl>
            <c:dLbl>
              <c:idx val="2"/>
              <c:tx>
                <c:rich>
                  <a:bodyPr/>
                  <a:lstStyle/>
                  <a:p>
                    <a:fld id="{1B310DE7-97E9-4F22-B15D-97C51D527C41}"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3A6-4D81-AA76-E1DD1C8008BA}"/>
                </c:ext>
              </c:extLst>
            </c:dLbl>
            <c:dLbl>
              <c:idx val="3"/>
              <c:tx>
                <c:rich>
                  <a:bodyPr/>
                  <a:lstStyle/>
                  <a:p>
                    <a:fld id="{6204C9D3-1F1E-4F62-BEB2-9BF25518AA27}"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3A6-4D81-AA76-E1DD1C8008BA}"/>
                </c:ext>
              </c:extLst>
            </c:dLbl>
            <c:dLbl>
              <c:idx val="4"/>
              <c:tx>
                <c:rich>
                  <a:bodyPr/>
                  <a:lstStyle/>
                  <a:p>
                    <a:fld id="{F4AE7414-21E7-4E1F-87DA-FDCFCA854F9E}"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3A6-4D81-AA76-E1DD1C8008BA}"/>
                </c:ext>
              </c:extLst>
            </c:dLbl>
            <c:dLbl>
              <c:idx val="5"/>
              <c:tx>
                <c:rich>
                  <a:bodyPr/>
                  <a:lstStyle/>
                  <a:p>
                    <a:fld id="{4D138A3B-8958-4AAF-BE33-A51E923FEA95}"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33A6-4D81-AA76-E1DD1C8008BA}"/>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'Figura 2'!$A$21:$A$26</c:f>
              <c:strCache>
                <c:ptCount val="6"/>
                <c:pt idx="0">
                  <c:v>Всего</c:v>
                </c:pt>
                <c:pt idx="1">
                  <c:v>РР АТО Гагаузия</c:v>
                </c:pt>
                <c:pt idx="2">
                  <c:v>РР Кишинев</c:v>
                </c:pt>
                <c:pt idx="3">
                  <c:v>РР Центр </c:v>
                </c:pt>
                <c:pt idx="4">
                  <c:v>РР Юг</c:v>
                </c:pt>
                <c:pt idx="5">
                  <c:v>РР Север</c:v>
                </c:pt>
              </c:strCache>
            </c:strRef>
          </c:cat>
          <c:val>
            <c:numRef>
              <c:f>'Figura 2'!$B$21:$B$26</c:f>
              <c:numCache>
                <c:formatCode>General</c:formatCode>
                <c:ptCount val="6"/>
                <c:pt idx="0">
                  <c:v>82.7</c:v>
                </c:pt>
                <c:pt idx="1">
                  <c:v>96.3</c:v>
                </c:pt>
                <c:pt idx="2" formatCode="0.0">
                  <c:v>91.1</c:v>
                </c:pt>
                <c:pt idx="3">
                  <c:v>80.3</c:v>
                </c:pt>
                <c:pt idx="4">
                  <c:v>77.2</c:v>
                </c:pt>
                <c:pt idx="5" formatCode="0.0">
                  <c:v>76.099999999999994</c:v>
                </c:pt>
              </c:numCache>
            </c:numRef>
          </c:val>
          <c:extLst>
            <c:ext xmlns:c15="http://schemas.microsoft.com/office/drawing/2012/chart" uri="{02D57815-91ED-43cb-92C2-25804820EDAC}">
              <c15:datalabelsRange>
                <c15:f>'Figura 2'!$B$21:$B$26</c15:f>
                <c15:dlblRangeCache>
                  <c:ptCount val="6"/>
                  <c:pt idx="0">
                    <c:v>82,7</c:v>
                  </c:pt>
                  <c:pt idx="1">
                    <c:v>96,3</c:v>
                  </c:pt>
                  <c:pt idx="2">
                    <c:v>91,1</c:v>
                  </c:pt>
                  <c:pt idx="3">
                    <c:v>80,3</c:v>
                  </c:pt>
                  <c:pt idx="4">
                    <c:v>77,2</c:v>
                  </c:pt>
                  <c:pt idx="5">
                    <c:v>76,1</c:v>
                  </c:pt>
                </c15:dlblRangeCache>
              </c15:datalabelsRange>
            </c:ext>
            <c:ext xmlns:c16="http://schemas.microsoft.com/office/drawing/2014/chart" uri="{C3380CC4-5D6E-409C-BE32-E72D297353CC}">
              <c16:uniqueId val="{00000006-33A6-4D81-AA76-E1DD1C8008BA}"/>
            </c:ext>
          </c:extLst>
        </c:ser>
        <c:dLbls>
          <c:showLegendKey val="0"/>
          <c:showVal val="0"/>
          <c:showCatName val="0"/>
          <c:showSerName val="0"/>
          <c:showPercent val="0"/>
          <c:showBubbleSize val="0"/>
        </c:dLbls>
        <c:gapWidth val="219"/>
        <c:overlap val="-27"/>
        <c:axId val="375262376"/>
        <c:axId val="374934952"/>
      </c:barChart>
      <c:catAx>
        <c:axId val="375262376"/>
        <c:scaling>
          <c:orientation val="minMax"/>
        </c:scaling>
        <c:delete val="0"/>
        <c:axPos val="b"/>
        <c:numFmt formatCode="General" sourceLinked="1"/>
        <c:majorTickMark val="none"/>
        <c:minorTickMark val="none"/>
        <c:tickLblPos val="nextTo"/>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74934952"/>
        <c:crosses val="autoZero"/>
        <c:auto val="1"/>
        <c:lblAlgn val="ctr"/>
        <c:lblOffset val="100"/>
        <c:noMultiLvlLbl val="0"/>
      </c:catAx>
      <c:valAx>
        <c:axId val="374934952"/>
        <c:scaling>
          <c:orientation val="minMax"/>
          <c:max val="100"/>
        </c:scaling>
        <c:delete val="0"/>
        <c:axPos val="l"/>
        <c:numFmt formatCode="0%" sourceLinked="0"/>
        <c:majorTickMark val="in"/>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75262376"/>
        <c:crosses val="autoZero"/>
        <c:crossBetween val="between"/>
        <c:majorUnit val="20"/>
        <c:dispUnits>
          <c:builtInUnit val="hundreds"/>
        </c:dispUnits>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483654132769774E-2"/>
          <c:y val="0.17815261044176706"/>
          <c:w val="0.95351634586723022"/>
          <c:h val="0.41681560889226194"/>
        </c:manualLayout>
      </c:layout>
      <c:lineChart>
        <c:grouping val="stacked"/>
        <c:varyColors val="0"/>
        <c:ser>
          <c:idx val="0"/>
          <c:order val="0"/>
          <c:tx>
            <c:strRef>
              <c:f>Лист3!$B$1</c:f>
              <c:strCache>
                <c:ptCount val="1"/>
                <c:pt idx="0">
                  <c:v>Плотность, чел./км²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solidFill>
                <a:schemeClr val="accent1">
                  <a:lumMod val="20000"/>
                  <a:lumOff val="80000"/>
                </a:schemeClr>
              </a:solid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Лист3!$A$2:$A$6</c:f>
              <c:numCache>
                <c:formatCode>General</c:formatCode>
                <c:ptCount val="5"/>
                <c:pt idx="0">
                  <c:v>2021</c:v>
                </c:pt>
                <c:pt idx="1">
                  <c:v>2022</c:v>
                </c:pt>
                <c:pt idx="2">
                  <c:v>2023</c:v>
                </c:pt>
                <c:pt idx="3">
                  <c:v>2024</c:v>
                </c:pt>
                <c:pt idx="4">
                  <c:v>2025</c:v>
                </c:pt>
              </c:numCache>
            </c:numRef>
          </c:cat>
          <c:val>
            <c:numRef>
              <c:f>Лист3!$B$2:$B$6</c:f>
              <c:numCache>
                <c:formatCode>General</c:formatCode>
                <c:ptCount val="5"/>
                <c:pt idx="0">
                  <c:v>66.2</c:v>
                </c:pt>
                <c:pt idx="1">
                  <c:v>64.7</c:v>
                </c:pt>
                <c:pt idx="2">
                  <c:v>63.4</c:v>
                </c:pt>
                <c:pt idx="3">
                  <c:v>62.3</c:v>
                </c:pt>
                <c:pt idx="4">
                  <c:v>61.1</c:v>
                </c:pt>
              </c:numCache>
            </c:numRef>
          </c:val>
          <c:smooth val="0"/>
          <c:extLst>
            <c:ext xmlns:c16="http://schemas.microsoft.com/office/drawing/2014/chart" uri="{C3380CC4-5D6E-409C-BE32-E72D297353CC}">
              <c16:uniqueId val="{00000000-A943-47AF-ADB3-74C2503D8AF5}"/>
            </c:ext>
          </c:extLst>
        </c:ser>
        <c:dLbls>
          <c:showLegendKey val="0"/>
          <c:showVal val="0"/>
          <c:showCatName val="0"/>
          <c:showSerName val="0"/>
          <c:showPercent val="0"/>
          <c:showBubbleSize val="0"/>
        </c:dLbls>
        <c:marker val="1"/>
        <c:smooth val="0"/>
        <c:axId val="1336216064"/>
        <c:axId val="1336216544"/>
      </c:lineChart>
      <c:catAx>
        <c:axId val="133621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36216544"/>
        <c:crosses val="autoZero"/>
        <c:auto val="1"/>
        <c:lblAlgn val="ctr"/>
        <c:lblOffset val="100"/>
        <c:noMultiLvlLbl val="0"/>
      </c:catAx>
      <c:valAx>
        <c:axId val="133621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36216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Лист11!$A$3</c:f>
              <c:strCache>
                <c:ptCount val="1"/>
                <c:pt idx="0">
                  <c:v>РР Кишинёв</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Лист11!$B$3:$F$3</c:f>
              <c:numCache>
                <c:formatCode>#,##0</c:formatCode>
                <c:ptCount val="5"/>
                <c:pt idx="0">
                  <c:v>36056</c:v>
                </c:pt>
                <c:pt idx="1">
                  <c:v>36915</c:v>
                </c:pt>
                <c:pt idx="2">
                  <c:v>37997</c:v>
                </c:pt>
                <c:pt idx="3">
                  <c:v>38452</c:v>
                </c:pt>
                <c:pt idx="4">
                  <c:v>41091</c:v>
                </c:pt>
              </c:numCache>
            </c:numRef>
          </c:val>
          <c:extLst>
            <c:ext xmlns:c16="http://schemas.microsoft.com/office/drawing/2014/chart" uri="{C3380CC4-5D6E-409C-BE32-E72D297353CC}">
              <c16:uniqueId val="{00000000-3DAC-4205-81AC-6A45CB71043F}"/>
            </c:ext>
          </c:extLst>
        </c:ser>
        <c:ser>
          <c:idx val="2"/>
          <c:order val="2"/>
          <c:tx>
            <c:strRef>
              <c:f>Лист11!$A$4</c:f>
              <c:strCache>
                <c:ptCount val="1"/>
                <c:pt idx="0">
                  <c:v>РР Север</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Лист11!$B$4:$F$4</c:f>
              <c:numCache>
                <c:formatCode>#,##0</c:formatCode>
                <c:ptCount val="5"/>
                <c:pt idx="0">
                  <c:v>7534</c:v>
                </c:pt>
                <c:pt idx="1">
                  <c:v>8028</c:v>
                </c:pt>
                <c:pt idx="2">
                  <c:v>8364</c:v>
                </c:pt>
                <c:pt idx="3">
                  <c:v>8610</c:v>
                </c:pt>
                <c:pt idx="4">
                  <c:v>9394</c:v>
                </c:pt>
              </c:numCache>
            </c:numRef>
          </c:val>
          <c:extLst>
            <c:ext xmlns:c16="http://schemas.microsoft.com/office/drawing/2014/chart" uri="{C3380CC4-5D6E-409C-BE32-E72D297353CC}">
              <c16:uniqueId val="{00000001-3DAC-4205-81AC-6A45CB71043F}"/>
            </c:ext>
          </c:extLst>
        </c:ser>
        <c:ser>
          <c:idx val="3"/>
          <c:order val="3"/>
          <c:tx>
            <c:strRef>
              <c:f>Лист11!$A$5</c:f>
              <c:strCache>
                <c:ptCount val="1"/>
                <c:pt idx="0">
                  <c:v>РР Центр</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Лист11!$B$5:$F$5</c:f>
              <c:numCache>
                <c:formatCode>#,##0</c:formatCode>
                <c:ptCount val="5"/>
                <c:pt idx="0">
                  <c:v>9458</c:v>
                </c:pt>
                <c:pt idx="1">
                  <c:v>10088</c:v>
                </c:pt>
                <c:pt idx="2">
                  <c:v>10635</c:v>
                </c:pt>
                <c:pt idx="3">
                  <c:v>10973</c:v>
                </c:pt>
                <c:pt idx="4">
                  <c:v>11853</c:v>
                </c:pt>
              </c:numCache>
            </c:numRef>
          </c:val>
          <c:extLst>
            <c:ext xmlns:c16="http://schemas.microsoft.com/office/drawing/2014/chart" uri="{C3380CC4-5D6E-409C-BE32-E72D297353CC}">
              <c16:uniqueId val="{00000002-3DAC-4205-81AC-6A45CB71043F}"/>
            </c:ext>
          </c:extLst>
        </c:ser>
        <c:ser>
          <c:idx val="4"/>
          <c:order val="4"/>
          <c:tx>
            <c:strRef>
              <c:f>Лист11!$A$6</c:f>
              <c:strCache>
                <c:ptCount val="1"/>
                <c:pt idx="0">
                  <c:v>РР Юг</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Лист11!$B$6:$F$6</c:f>
              <c:numCache>
                <c:formatCode>#,##0</c:formatCode>
                <c:ptCount val="5"/>
                <c:pt idx="0">
                  <c:v>3220</c:v>
                </c:pt>
                <c:pt idx="1">
                  <c:v>3392</c:v>
                </c:pt>
                <c:pt idx="2">
                  <c:v>3618</c:v>
                </c:pt>
                <c:pt idx="3">
                  <c:v>3703</c:v>
                </c:pt>
                <c:pt idx="4">
                  <c:v>4225</c:v>
                </c:pt>
              </c:numCache>
            </c:numRef>
          </c:val>
          <c:extLst>
            <c:ext xmlns:c16="http://schemas.microsoft.com/office/drawing/2014/chart" uri="{C3380CC4-5D6E-409C-BE32-E72D297353CC}">
              <c16:uniqueId val="{00000003-3DAC-4205-81AC-6A45CB71043F}"/>
            </c:ext>
          </c:extLst>
        </c:ser>
        <c:ser>
          <c:idx val="5"/>
          <c:order val="5"/>
          <c:tx>
            <c:strRef>
              <c:f>Лист11!$A$7</c:f>
              <c:strCache>
                <c:ptCount val="1"/>
                <c:pt idx="0">
                  <c:v>РР АТО Гагаузия</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Лист11!$B$7:$F$7</c:f>
              <c:numCache>
                <c:formatCode>#,##0</c:formatCode>
                <c:ptCount val="5"/>
                <c:pt idx="0">
                  <c:v>1795</c:v>
                </c:pt>
                <c:pt idx="1">
                  <c:v>1882</c:v>
                </c:pt>
                <c:pt idx="2">
                  <c:v>1994</c:v>
                </c:pt>
                <c:pt idx="3">
                  <c:v>2040</c:v>
                </c:pt>
                <c:pt idx="4">
                  <c:v>2162</c:v>
                </c:pt>
              </c:numCache>
            </c:numRef>
          </c:val>
          <c:extLst>
            <c:ext xmlns:c16="http://schemas.microsoft.com/office/drawing/2014/chart" uri="{C3380CC4-5D6E-409C-BE32-E72D297353CC}">
              <c16:uniqueId val="{00000004-3DAC-4205-81AC-6A45CB71043F}"/>
            </c:ext>
          </c:extLst>
        </c:ser>
        <c:dLbls>
          <c:showLegendKey val="0"/>
          <c:showVal val="0"/>
          <c:showCatName val="0"/>
          <c:showSerName val="0"/>
          <c:showPercent val="0"/>
          <c:showBubbleSize val="0"/>
        </c:dLbls>
        <c:gapWidth val="219"/>
        <c:overlap val="-27"/>
        <c:axId val="2069868783"/>
        <c:axId val="2069869263"/>
      </c:barChart>
      <c:lineChart>
        <c:grouping val="standard"/>
        <c:varyColors val="0"/>
        <c:ser>
          <c:idx val="0"/>
          <c:order val="0"/>
          <c:tx>
            <c:strRef>
              <c:f>Лист11!$A$2</c:f>
              <c:strCache>
                <c:ptCount val="1"/>
                <c:pt idx="0">
                  <c:v>Всего по стране</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Лист11!$B$1:$F$1</c:f>
              <c:numCache>
                <c:formatCode>General</c:formatCode>
                <c:ptCount val="5"/>
                <c:pt idx="0">
                  <c:v>2020</c:v>
                </c:pt>
                <c:pt idx="1">
                  <c:v>2021</c:v>
                </c:pt>
                <c:pt idx="2">
                  <c:v>2022</c:v>
                </c:pt>
                <c:pt idx="3">
                  <c:v>2023</c:v>
                </c:pt>
                <c:pt idx="4">
                  <c:v>2024</c:v>
                </c:pt>
              </c:numCache>
            </c:numRef>
          </c:cat>
          <c:val>
            <c:numRef>
              <c:f>Лист11!$B$2:$F$2</c:f>
              <c:numCache>
                <c:formatCode>#,##0</c:formatCode>
                <c:ptCount val="5"/>
                <c:pt idx="0">
                  <c:v>58063</c:v>
                </c:pt>
                <c:pt idx="1">
                  <c:v>60305</c:v>
                </c:pt>
                <c:pt idx="2">
                  <c:v>62608</c:v>
                </c:pt>
                <c:pt idx="3">
                  <c:v>63778</c:v>
                </c:pt>
                <c:pt idx="4">
                  <c:v>68725</c:v>
                </c:pt>
              </c:numCache>
            </c:numRef>
          </c:val>
          <c:smooth val="0"/>
          <c:extLst>
            <c:ext xmlns:c16="http://schemas.microsoft.com/office/drawing/2014/chart" uri="{C3380CC4-5D6E-409C-BE32-E72D297353CC}">
              <c16:uniqueId val="{00000005-3DAC-4205-81AC-6A45CB71043F}"/>
            </c:ext>
          </c:extLst>
        </c:ser>
        <c:dLbls>
          <c:showLegendKey val="0"/>
          <c:showVal val="0"/>
          <c:showCatName val="0"/>
          <c:showSerName val="0"/>
          <c:showPercent val="0"/>
          <c:showBubbleSize val="0"/>
        </c:dLbls>
        <c:marker val="1"/>
        <c:smooth val="0"/>
        <c:axId val="2077140719"/>
        <c:axId val="2077140239"/>
      </c:lineChart>
      <c:catAx>
        <c:axId val="2069868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69869263"/>
        <c:crosses val="autoZero"/>
        <c:auto val="1"/>
        <c:lblAlgn val="ctr"/>
        <c:lblOffset val="100"/>
        <c:noMultiLvlLbl val="0"/>
      </c:catAx>
      <c:valAx>
        <c:axId val="20698692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69868783"/>
        <c:crosses val="autoZero"/>
        <c:crossBetween val="between"/>
      </c:valAx>
      <c:valAx>
        <c:axId val="2077140239"/>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77140719"/>
        <c:crosses val="max"/>
        <c:crossBetween val="between"/>
      </c:valAx>
      <c:catAx>
        <c:axId val="2077140719"/>
        <c:scaling>
          <c:orientation val="minMax"/>
        </c:scaling>
        <c:delete val="1"/>
        <c:axPos val="b"/>
        <c:numFmt formatCode="General" sourceLinked="1"/>
        <c:majorTickMark val="out"/>
        <c:minorTickMark val="none"/>
        <c:tickLblPos val="nextTo"/>
        <c:crossAx val="20771402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128946929360641E-2"/>
          <c:y val="0.12340797516589497"/>
          <c:w val="0.89557218225730439"/>
          <c:h val="0.8140921338321081"/>
        </c:manualLayout>
      </c:layout>
      <c:pie3DChart>
        <c:varyColors val="1"/>
        <c:ser>
          <c:idx val="0"/>
          <c:order val="0"/>
          <c:tx>
            <c:strRef>
              <c:f>Лист12!$B$1</c:f>
              <c:strCache>
                <c:ptCount val="1"/>
                <c:pt idx="0">
                  <c:v>Удельный вес,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5FC-48E0-89E5-407B7A62414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5FC-48E0-89E5-407B7A62414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5FC-48E0-89E5-407B7A62414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5FC-48E0-89E5-407B7A62414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5FC-48E0-89E5-407B7A62414F}"/>
              </c:ext>
            </c:extLst>
          </c:dPt>
          <c:dLbls>
            <c:dLbl>
              <c:idx val="0"/>
              <c:layout>
                <c:manualLayout>
                  <c:x val="4.7069638307143308E-2"/>
                  <c:y val="3.5144880145795726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5FC-48E0-89E5-407B7A62414F}"/>
                </c:ext>
              </c:extLst>
            </c:dLbl>
            <c:dLbl>
              <c:idx val="1"/>
              <c:layout>
                <c:manualLayout>
                  <c:x val="-4.8481081142372116E-2"/>
                  <c:y val="-5.262903183613676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5FC-48E0-89E5-407B7A62414F}"/>
                </c:ext>
              </c:extLst>
            </c:dLbl>
            <c:dLbl>
              <c:idx val="2"/>
              <c:layout>
                <c:manualLayout>
                  <c:x val="-2.2020111865774031E-2"/>
                  <c:y val="-3.264446595338373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85FC-48E0-89E5-407B7A62414F}"/>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Лист12!$A$2:$A$6</c:f>
              <c:strCache>
                <c:ptCount val="5"/>
                <c:pt idx="0">
                  <c:v>РР Кишинёв</c:v>
                </c:pt>
                <c:pt idx="1">
                  <c:v>РР Север</c:v>
                </c:pt>
                <c:pt idx="2">
                  <c:v>РР Центр</c:v>
                </c:pt>
                <c:pt idx="3">
                  <c:v>РР Юг</c:v>
                </c:pt>
                <c:pt idx="4">
                  <c:v>РР АТО Гагаузия</c:v>
                </c:pt>
              </c:strCache>
            </c:strRef>
          </c:cat>
          <c:val>
            <c:numRef>
              <c:f>Лист12!$B$2:$B$6</c:f>
              <c:numCache>
                <c:formatCode>General</c:formatCode>
                <c:ptCount val="5"/>
                <c:pt idx="0">
                  <c:v>59.8</c:v>
                </c:pt>
                <c:pt idx="1">
                  <c:v>13.7</c:v>
                </c:pt>
                <c:pt idx="2">
                  <c:v>17.2</c:v>
                </c:pt>
                <c:pt idx="3">
                  <c:v>6.1</c:v>
                </c:pt>
                <c:pt idx="4">
                  <c:v>3.1</c:v>
                </c:pt>
              </c:numCache>
            </c:numRef>
          </c:val>
          <c:extLst>
            <c:ext xmlns:c16="http://schemas.microsoft.com/office/drawing/2014/chart" uri="{C3380CC4-5D6E-409C-BE32-E72D297353CC}">
              <c16:uniqueId val="{0000000A-85FC-48E0-89E5-407B7A62414F}"/>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c:f>
              <c:strCache>
                <c:ptCount val="1"/>
                <c:pt idx="0">
                  <c:v>Уд.вес РР АТО Гагаузия в экспорте РМ,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Лист1!$B$1:$D$1</c:f>
              <c:numCache>
                <c:formatCode>General</c:formatCode>
                <c:ptCount val="3"/>
                <c:pt idx="0">
                  <c:v>2022</c:v>
                </c:pt>
                <c:pt idx="1">
                  <c:v>2023</c:v>
                </c:pt>
                <c:pt idx="2">
                  <c:v>2024</c:v>
                </c:pt>
              </c:numCache>
            </c:numRef>
          </c:cat>
          <c:val>
            <c:numRef>
              <c:f>Лист1!$B$2:$D$2</c:f>
              <c:numCache>
                <c:formatCode>General</c:formatCode>
                <c:ptCount val="3"/>
                <c:pt idx="0">
                  <c:v>3.5</c:v>
                </c:pt>
                <c:pt idx="1">
                  <c:v>3.8</c:v>
                </c:pt>
                <c:pt idx="2">
                  <c:v>4</c:v>
                </c:pt>
              </c:numCache>
            </c:numRef>
          </c:val>
          <c:extLst>
            <c:ext xmlns:c16="http://schemas.microsoft.com/office/drawing/2014/chart" uri="{C3380CC4-5D6E-409C-BE32-E72D297353CC}">
              <c16:uniqueId val="{00000000-8387-4729-B9D7-B17F3EE5314D}"/>
            </c:ext>
          </c:extLst>
        </c:ser>
        <c:ser>
          <c:idx val="1"/>
          <c:order val="1"/>
          <c:tx>
            <c:strRef>
              <c:f>Лист1!$A$3</c:f>
              <c:strCache>
                <c:ptCount val="1"/>
                <c:pt idx="0">
                  <c:v>Уд. Вес РР АТО Гагаузия  в импорте РМ,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Лист1!$B$1:$D$1</c:f>
              <c:numCache>
                <c:formatCode>General</c:formatCode>
                <c:ptCount val="3"/>
                <c:pt idx="0">
                  <c:v>2022</c:v>
                </c:pt>
                <c:pt idx="1">
                  <c:v>2023</c:v>
                </c:pt>
                <c:pt idx="2">
                  <c:v>2024</c:v>
                </c:pt>
              </c:numCache>
            </c:numRef>
          </c:cat>
          <c:val>
            <c:numRef>
              <c:f>Лист1!$B$3:$D$3</c:f>
              <c:numCache>
                <c:formatCode>General</c:formatCode>
                <c:ptCount val="3"/>
                <c:pt idx="0">
                  <c:v>1.7</c:v>
                </c:pt>
                <c:pt idx="1">
                  <c:v>1.6</c:v>
                </c:pt>
                <c:pt idx="2">
                  <c:v>1.7</c:v>
                </c:pt>
              </c:numCache>
            </c:numRef>
          </c:val>
          <c:extLst>
            <c:ext xmlns:c16="http://schemas.microsoft.com/office/drawing/2014/chart" uri="{C3380CC4-5D6E-409C-BE32-E72D297353CC}">
              <c16:uniqueId val="{00000001-8387-4729-B9D7-B17F3EE5314D}"/>
            </c:ext>
          </c:extLst>
        </c:ser>
        <c:dLbls>
          <c:showLegendKey val="0"/>
          <c:showVal val="0"/>
          <c:showCatName val="0"/>
          <c:showSerName val="0"/>
          <c:showPercent val="0"/>
          <c:showBubbleSize val="0"/>
        </c:dLbls>
        <c:gapWidth val="219"/>
        <c:overlap val="-27"/>
        <c:axId val="843731632"/>
        <c:axId val="843731152"/>
      </c:barChart>
      <c:catAx>
        <c:axId val="84373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43731152"/>
        <c:crosses val="autoZero"/>
        <c:auto val="1"/>
        <c:lblAlgn val="ctr"/>
        <c:lblOffset val="100"/>
        <c:noMultiLvlLbl val="0"/>
      </c:catAx>
      <c:valAx>
        <c:axId val="84373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4373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Лист9!$A$5</c:f>
              <c:strCache>
                <c:ptCount val="1"/>
                <c:pt idx="0">
                  <c:v>РР Кишинев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Лист9!$B$5:$F$5</c:f>
              <c:numCache>
                <c:formatCode>General</c:formatCode>
                <c:ptCount val="5"/>
                <c:pt idx="0">
                  <c:v>228.6</c:v>
                </c:pt>
                <c:pt idx="1">
                  <c:v>232.4</c:v>
                </c:pt>
                <c:pt idx="2">
                  <c:v>235.4</c:v>
                </c:pt>
                <c:pt idx="3">
                  <c:v>239.9</c:v>
                </c:pt>
                <c:pt idx="4">
                  <c:v>246.6</c:v>
                </c:pt>
              </c:numCache>
            </c:numRef>
          </c:val>
          <c:extLst>
            <c:ext xmlns:c16="http://schemas.microsoft.com/office/drawing/2014/chart" uri="{C3380CC4-5D6E-409C-BE32-E72D297353CC}">
              <c16:uniqueId val="{00000000-A816-4800-8F7F-4CEFF016759D}"/>
            </c:ext>
          </c:extLst>
        </c:ser>
        <c:ser>
          <c:idx val="2"/>
          <c:order val="2"/>
          <c:tx>
            <c:strRef>
              <c:f>Лист9!$A$6</c:f>
              <c:strCache>
                <c:ptCount val="1"/>
                <c:pt idx="0">
                  <c:v>РР Север</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Лист9!$B$6:$F$6</c:f>
              <c:numCache>
                <c:formatCode>General</c:formatCode>
                <c:ptCount val="5"/>
                <c:pt idx="0">
                  <c:v>65.900000000000006</c:v>
                </c:pt>
                <c:pt idx="1">
                  <c:v>68.900000000000006</c:v>
                </c:pt>
                <c:pt idx="2">
                  <c:v>62.6</c:v>
                </c:pt>
                <c:pt idx="3">
                  <c:v>64</c:v>
                </c:pt>
                <c:pt idx="4">
                  <c:v>61.9</c:v>
                </c:pt>
              </c:numCache>
            </c:numRef>
          </c:val>
          <c:extLst>
            <c:ext xmlns:c16="http://schemas.microsoft.com/office/drawing/2014/chart" uri="{C3380CC4-5D6E-409C-BE32-E72D297353CC}">
              <c16:uniqueId val="{00000001-A816-4800-8F7F-4CEFF016759D}"/>
            </c:ext>
          </c:extLst>
        </c:ser>
        <c:ser>
          <c:idx val="3"/>
          <c:order val="3"/>
          <c:tx>
            <c:strRef>
              <c:f>Лист9!$A$7</c:f>
              <c:strCache>
                <c:ptCount val="1"/>
                <c:pt idx="0">
                  <c:v>РР Центр</c:v>
                </c:pt>
              </c:strCache>
            </c:strRef>
          </c:tx>
          <c:spPr>
            <a:solidFill>
              <a:schemeClr val="accent4"/>
            </a:solidFill>
            <a:ln>
              <a:noFill/>
            </a:ln>
            <a:effectLst/>
          </c:spPr>
          <c:invertIfNegative val="0"/>
          <c:dLbls>
            <c:dLbl>
              <c:idx val="2"/>
              <c:layout>
                <c:manualLayout>
                  <c:x val="1.2296341838303105E-2"/>
                  <c:y val="1.4181882644921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16-4800-8F7F-4CEFF016759D}"/>
                </c:ext>
              </c:extLst>
            </c:dLbl>
            <c:dLbl>
              <c:idx val="3"/>
              <c:layout>
                <c:manualLayout>
                  <c:x val="1.8444512757454658E-2"/>
                  <c:y val="1.7727353306151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16-4800-8F7F-4CEFF016759D}"/>
                </c:ext>
              </c:extLst>
            </c:dLbl>
            <c:dLbl>
              <c:idx val="4"/>
              <c:layout>
                <c:manualLayout>
                  <c:x val="1.8444512757454658E-2"/>
                  <c:y val="2.8363765289842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16-4800-8F7F-4CEFF01675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Лист9!$B$7:$F$7</c:f>
              <c:numCache>
                <c:formatCode>General</c:formatCode>
                <c:ptCount val="5"/>
                <c:pt idx="0">
                  <c:v>56</c:v>
                </c:pt>
                <c:pt idx="1">
                  <c:v>58.7</c:v>
                </c:pt>
                <c:pt idx="2">
                  <c:v>62.8</c:v>
                </c:pt>
                <c:pt idx="3">
                  <c:v>59.4</c:v>
                </c:pt>
                <c:pt idx="4">
                  <c:v>65.2</c:v>
                </c:pt>
              </c:numCache>
            </c:numRef>
          </c:val>
          <c:extLst>
            <c:ext xmlns:c16="http://schemas.microsoft.com/office/drawing/2014/chart" uri="{C3380CC4-5D6E-409C-BE32-E72D297353CC}">
              <c16:uniqueId val="{00000005-A816-4800-8F7F-4CEFF016759D}"/>
            </c:ext>
          </c:extLst>
        </c:ser>
        <c:ser>
          <c:idx val="4"/>
          <c:order val="4"/>
          <c:tx>
            <c:strRef>
              <c:f>Лист9!$A$8</c:f>
              <c:strCache>
                <c:ptCount val="1"/>
                <c:pt idx="0">
                  <c:v>РР Юг</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Лист9!$B$8:$F$8</c:f>
              <c:numCache>
                <c:formatCode>General</c:formatCode>
                <c:ptCount val="5"/>
                <c:pt idx="0">
                  <c:v>23.7</c:v>
                </c:pt>
                <c:pt idx="1">
                  <c:v>24.5</c:v>
                </c:pt>
                <c:pt idx="2">
                  <c:v>24.6</c:v>
                </c:pt>
                <c:pt idx="3">
                  <c:v>24.8</c:v>
                </c:pt>
                <c:pt idx="4">
                  <c:v>25.4</c:v>
                </c:pt>
              </c:numCache>
            </c:numRef>
          </c:val>
          <c:extLst>
            <c:ext xmlns:c16="http://schemas.microsoft.com/office/drawing/2014/chart" uri="{C3380CC4-5D6E-409C-BE32-E72D297353CC}">
              <c16:uniqueId val="{00000006-A816-4800-8F7F-4CEFF016759D}"/>
            </c:ext>
          </c:extLst>
        </c:ser>
        <c:ser>
          <c:idx val="5"/>
          <c:order val="5"/>
          <c:tx>
            <c:strRef>
              <c:f>Лист9!$A$9</c:f>
              <c:strCache>
                <c:ptCount val="1"/>
                <c:pt idx="0">
                  <c:v>РР АТО Гагаузия</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Лист9!$B$9:$F$9</c:f>
              <c:numCache>
                <c:formatCode>General</c:formatCode>
                <c:ptCount val="5"/>
                <c:pt idx="0">
                  <c:v>11.6</c:v>
                </c:pt>
                <c:pt idx="1">
                  <c:v>13.1</c:v>
                </c:pt>
                <c:pt idx="2">
                  <c:v>12.5</c:v>
                </c:pt>
                <c:pt idx="3">
                  <c:v>12.6</c:v>
                </c:pt>
                <c:pt idx="4">
                  <c:v>12.3</c:v>
                </c:pt>
              </c:numCache>
            </c:numRef>
          </c:val>
          <c:extLst>
            <c:ext xmlns:c16="http://schemas.microsoft.com/office/drawing/2014/chart" uri="{C3380CC4-5D6E-409C-BE32-E72D297353CC}">
              <c16:uniqueId val="{00000007-A816-4800-8F7F-4CEFF016759D}"/>
            </c:ext>
          </c:extLst>
        </c:ser>
        <c:dLbls>
          <c:showLegendKey val="0"/>
          <c:showVal val="0"/>
          <c:showCatName val="0"/>
          <c:showSerName val="0"/>
          <c:showPercent val="0"/>
          <c:showBubbleSize val="0"/>
        </c:dLbls>
        <c:gapWidth val="219"/>
        <c:overlap val="-27"/>
        <c:axId val="1971049695"/>
        <c:axId val="1971051615"/>
      </c:barChart>
      <c:lineChart>
        <c:grouping val="standard"/>
        <c:varyColors val="0"/>
        <c:ser>
          <c:idx val="0"/>
          <c:order val="0"/>
          <c:tx>
            <c:strRef>
              <c:f>Лист9!$A$4</c:f>
              <c:strCache>
                <c:ptCount val="1"/>
                <c:pt idx="0">
                  <c:v>Всего по стране</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Лист9!$B$3:$F$3</c:f>
              <c:numCache>
                <c:formatCode>General</c:formatCode>
                <c:ptCount val="5"/>
                <c:pt idx="0">
                  <c:v>2020</c:v>
                </c:pt>
                <c:pt idx="1">
                  <c:v>2021</c:v>
                </c:pt>
                <c:pt idx="2">
                  <c:v>2022</c:v>
                </c:pt>
                <c:pt idx="3">
                  <c:v>2023</c:v>
                </c:pt>
                <c:pt idx="4">
                  <c:v>2024</c:v>
                </c:pt>
              </c:numCache>
            </c:numRef>
          </c:cat>
          <c:val>
            <c:numRef>
              <c:f>Лист9!$B$4:$F$4</c:f>
              <c:numCache>
                <c:formatCode>General</c:formatCode>
                <c:ptCount val="5"/>
                <c:pt idx="0">
                  <c:v>385.8</c:v>
                </c:pt>
                <c:pt idx="1">
                  <c:v>397.6</c:v>
                </c:pt>
                <c:pt idx="2">
                  <c:v>397.9</c:v>
                </c:pt>
                <c:pt idx="3">
                  <c:v>400.8</c:v>
                </c:pt>
                <c:pt idx="4">
                  <c:v>411.4</c:v>
                </c:pt>
              </c:numCache>
            </c:numRef>
          </c:val>
          <c:smooth val="0"/>
          <c:extLst>
            <c:ext xmlns:c16="http://schemas.microsoft.com/office/drawing/2014/chart" uri="{C3380CC4-5D6E-409C-BE32-E72D297353CC}">
              <c16:uniqueId val="{00000008-A816-4800-8F7F-4CEFF016759D}"/>
            </c:ext>
          </c:extLst>
        </c:ser>
        <c:dLbls>
          <c:showLegendKey val="0"/>
          <c:showVal val="0"/>
          <c:showCatName val="0"/>
          <c:showSerName val="0"/>
          <c:showPercent val="0"/>
          <c:showBubbleSize val="0"/>
        </c:dLbls>
        <c:marker val="1"/>
        <c:smooth val="0"/>
        <c:axId val="57603087"/>
        <c:axId val="57602607"/>
      </c:lineChart>
      <c:catAx>
        <c:axId val="1971049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1051615"/>
        <c:crosses val="autoZero"/>
        <c:auto val="1"/>
        <c:lblAlgn val="ctr"/>
        <c:lblOffset val="100"/>
        <c:noMultiLvlLbl val="0"/>
      </c:catAx>
      <c:valAx>
        <c:axId val="1971051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71049695"/>
        <c:crosses val="autoZero"/>
        <c:crossBetween val="between"/>
      </c:valAx>
      <c:valAx>
        <c:axId val="5760260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7603087"/>
        <c:crosses val="max"/>
        <c:crossBetween val="between"/>
      </c:valAx>
      <c:catAx>
        <c:axId val="57603087"/>
        <c:scaling>
          <c:orientation val="minMax"/>
        </c:scaling>
        <c:delete val="1"/>
        <c:axPos val="b"/>
        <c:numFmt formatCode="General" sourceLinked="1"/>
        <c:majorTickMark val="out"/>
        <c:minorTickMark val="none"/>
        <c:tickLblPos val="nextTo"/>
        <c:crossAx val="5760260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605767879363364E-2"/>
          <c:y val="7.1013464350807937E-2"/>
          <c:w val="0.94668722297827701"/>
          <c:h val="0.6591786673966761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18F-46AE-9BBC-A1BB2CFF4D6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18F-46AE-9BBC-A1BB2CFF4D6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18F-46AE-9BBC-A1BB2CFF4D6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18F-46AE-9BBC-A1BB2CFF4D6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18F-46AE-9BBC-A1BB2CFF4D6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18F-46AE-9BBC-A1BB2CFF4D6B}"/>
              </c:ext>
            </c:extLst>
          </c:dPt>
          <c:dLbls>
            <c:dLbl>
              <c:idx val="0"/>
              <c:layout>
                <c:manualLayout>
                  <c:x val="3.2293355108873614E-2"/>
                  <c:y val="-1.189489790212634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8F-46AE-9BBC-A1BB2CFF4D6B}"/>
                </c:ext>
              </c:extLst>
            </c:dLbl>
            <c:dLbl>
              <c:idx val="1"/>
              <c:layout>
                <c:manualLayout>
                  <c:x val="-3.8018916274518938E-3"/>
                  <c:y val="-2.3404990773829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8F-46AE-9BBC-A1BB2CFF4D6B}"/>
                </c:ext>
              </c:extLst>
            </c:dLbl>
            <c:dLbl>
              <c:idx val="2"/>
              <c:layout>
                <c:manualLayout>
                  <c:x val="-4.4171160324050121E-2"/>
                  <c:y val="6.3833410429893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8F-46AE-9BBC-A1BB2CFF4D6B}"/>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Лист2!$A$1:$A$6</c:f>
              <c:strCache>
                <c:ptCount val="6"/>
                <c:pt idx="0">
                  <c:v>Собственные средства</c:v>
                </c:pt>
                <c:pt idx="1">
                  <c:v>Местный бюджет</c:v>
                </c:pt>
                <c:pt idx="2">
                  <c:v>Банковские кредиты и займы</c:v>
                </c:pt>
                <c:pt idx="3">
                  <c:v>Государственный бюджет</c:v>
                </c:pt>
                <c:pt idx="4">
                  <c:v>Иностранные инвестиции</c:v>
                </c:pt>
                <c:pt idx="5">
                  <c:v>Прочие источники</c:v>
                </c:pt>
              </c:strCache>
            </c:strRef>
          </c:cat>
          <c:val>
            <c:numRef>
              <c:f>Лист2!$B$1:$B$6</c:f>
              <c:numCache>
                <c:formatCode>0.0%</c:formatCode>
                <c:ptCount val="6"/>
                <c:pt idx="0">
                  <c:v>0.60799999999999998</c:v>
                </c:pt>
                <c:pt idx="1">
                  <c:v>0.13400000000000001</c:v>
                </c:pt>
                <c:pt idx="2">
                  <c:v>8.1000000000000003E-2</c:v>
                </c:pt>
                <c:pt idx="3">
                  <c:v>8.1000000000000003E-2</c:v>
                </c:pt>
                <c:pt idx="4">
                  <c:v>4.1000000000000002E-2</c:v>
                </c:pt>
                <c:pt idx="5">
                  <c:v>5.5E-2</c:v>
                </c:pt>
              </c:numCache>
            </c:numRef>
          </c:val>
          <c:extLst>
            <c:ext xmlns:c16="http://schemas.microsoft.com/office/drawing/2014/chart" uri="{C3380CC4-5D6E-409C-BE32-E72D297353CC}">
              <c16:uniqueId val="{0000000C-A18F-46AE-9BBC-A1BB2CFF4D6B}"/>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7.2365529842074061E-2"/>
          <c:y val="0.77286022001138222"/>
          <c:w val="0.83906159191950913"/>
          <c:h val="0.1787738948066219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7118575804490888E-2"/>
          <c:y val="7.5837720677842571E-2"/>
          <c:w val="0.94288142419550913"/>
          <c:h val="0.7020734392483848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6E0-419C-9A5E-F478661EC62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6E0-419C-9A5E-F478661EC62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6E0-419C-9A5E-F478661EC62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6E0-419C-9A5E-F478661EC62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6E0-419C-9A5E-F478661EC62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6E0-419C-9A5E-F478661EC629}"/>
              </c:ext>
            </c:extLst>
          </c:dPt>
          <c:dLbls>
            <c:dLbl>
              <c:idx val="0"/>
              <c:layout>
                <c:manualLayout>
                  <c:x val="5.6312254446455063E-3"/>
                  <c:y val="-2.7190142898804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E0-419C-9A5E-F478661EC629}"/>
                </c:ext>
              </c:extLst>
            </c:dLbl>
            <c:dLbl>
              <c:idx val="1"/>
              <c:layout>
                <c:manualLayout>
                  <c:x val="0.10686465822207007"/>
                  <c:y val="-8.36009040536599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E0-419C-9A5E-F478661EC629}"/>
                </c:ext>
              </c:extLst>
            </c:dLbl>
            <c:dLbl>
              <c:idx val="2"/>
              <c:layout>
                <c:manualLayout>
                  <c:x val="-6.9557881351787545E-3"/>
                  <c:y val="-4.2104841061533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E0-419C-9A5E-F478661EC629}"/>
                </c:ext>
              </c:extLst>
            </c:dLbl>
            <c:dLbl>
              <c:idx val="3"/>
              <c:layout>
                <c:manualLayout>
                  <c:x val="2.5646223569879851E-2"/>
                  <c:y val="-1.5331000291630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E0-419C-9A5E-F478661EC629}"/>
                </c:ext>
              </c:extLst>
            </c:dLbl>
            <c:dLbl>
              <c:idx val="5"/>
              <c:layout>
                <c:manualLayout>
                  <c:x val="3.4702971911119804E-2"/>
                  <c:y val="-2.4989063867016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E0-419C-9A5E-F478661EC62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Лист3!$A$2:$A$7</c:f>
              <c:strCache>
                <c:ptCount val="6"/>
                <c:pt idx="0">
                  <c:v>Машины и оборудование</c:v>
                </c:pt>
                <c:pt idx="1">
                  <c:v>Нежилые здания</c:v>
                </c:pt>
                <c:pt idx="2">
                  <c:v>Транспортные средства</c:v>
                </c:pt>
                <c:pt idx="3">
                  <c:v>Инженерные сооружения</c:v>
                </c:pt>
                <c:pt idx="4">
                  <c:v>Земельные участки</c:v>
                </c:pt>
                <c:pt idx="5">
                  <c:v>Прочие направления</c:v>
                </c:pt>
              </c:strCache>
            </c:strRef>
          </c:cat>
          <c:val>
            <c:numRef>
              <c:f>Лист3!$B$2:$B$7</c:f>
              <c:numCache>
                <c:formatCode>0.0%</c:formatCode>
                <c:ptCount val="6"/>
                <c:pt idx="0">
                  <c:v>0.35699999999999998</c:v>
                </c:pt>
                <c:pt idx="1">
                  <c:v>0.19400000000000001</c:v>
                </c:pt>
                <c:pt idx="2">
                  <c:v>0.17899999999999999</c:v>
                </c:pt>
                <c:pt idx="3">
                  <c:v>0.16300000000000001</c:v>
                </c:pt>
                <c:pt idx="4">
                  <c:v>4.2000000000000003E-2</c:v>
                </c:pt>
                <c:pt idx="5">
                  <c:v>6.5000000000000002E-2</c:v>
                </c:pt>
              </c:numCache>
            </c:numRef>
          </c:val>
          <c:extLst>
            <c:ext xmlns:c16="http://schemas.microsoft.com/office/drawing/2014/chart" uri="{C3380CC4-5D6E-409C-BE32-E72D297353CC}">
              <c16:uniqueId val="{0000000C-36E0-419C-9A5E-F478661EC629}"/>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6534028976082354"/>
          <c:y val="0.75693372316672614"/>
          <c:w val="0.69982153216300802"/>
          <c:h val="0.2299686998850094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A82F9928-0EB7-4178-865E-6D894E6DB42B}"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E3D-4BC7-B441-0031FF1F5B07}"/>
                </c:ext>
              </c:extLst>
            </c:dLbl>
            <c:dLbl>
              <c:idx val="1"/>
              <c:tx>
                <c:rich>
                  <a:bodyPr/>
                  <a:lstStyle/>
                  <a:p>
                    <a:fld id="{278AAB41-F8E4-4F0F-9832-73E0E844930D}"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E3D-4BC7-B441-0031FF1F5B07}"/>
                </c:ext>
              </c:extLst>
            </c:dLbl>
            <c:dLbl>
              <c:idx val="2"/>
              <c:tx>
                <c:rich>
                  <a:bodyPr/>
                  <a:lstStyle/>
                  <a:p>
                    <a:fld id="{328C9050-902B-42E3-9F9B-7A0D19472283}"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E3D-4BC7-B441-0031FF1F5B07}"/>
                </c:ext>
              </c:extLst>
            </c:dLbl>
            <c:dLbl>
              <c:idx val="3"/>
              <c:tx>
                <c:rich>
                  <a:bodyPr/>
                  <a:lstStyle/>
                  <a:p>
                    <a:fld id="{A55D880D-EBF2-4A02-8901-0DAB6FF28C07}"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E3D-4BC7-B441-0031FF1F5B07}"/>
                </c:ext>
              </c:extLst>
            </c:dLbl>
            <c:dLbl>
              <c:idx val="4"/>
              <c:tx>
                <c:rich>
                  <a:bodyPr/>
                  <a:lstStyle/>
                  <a:p>
                    <a:fld id="{C5D90FA2-18BE-4601-8F07-A91720BFB139}"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E3D-4BC7-B441-0031FF1F5B07}"/>
                </c:ext>
              </c:extLst>
            </c:dLbl>
            <c:dLbl>
              <c:idx val="5"/>
              <c:tx>
                <c:rich>
                  <a:bodyPr/>
                  <a:lstStyle/>
                  <a:p>
                    <a:fld id="{5B744E92-F304-41B0-960C-E7D93175B205}"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E3D-4BC7-B441-0031FF1F5B07}"/>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'Figura 2'!$A$21:$A$26</c:f>
              <c:strCache>
                <c:ptCount val="6"/>
                <c:pt idx="0">
                  <c:v>Всего </c:v>
                </c:pt>
                <c:pt idx="1">
                  <c:v>РР Кишинев</c:v>
                </c:pt>
                <c:pt idx="2">
                  <c:v>РР АТО Гагаузия</c:v>
                </c:pt>
                <c:pt idx="3">
                  <c:v>РР Юг</c:v>
                </c:pt>
                <c:pt idx="4">
                  <c:v>РР Центр</c:v>
                </c:pt>
                <c:pt idx="5">
                  <c:v>РР Север</c:v>
                </c:pt>
              </c:strCache>
            </c:strRef>
          </c:cat>
          <c:val>
            <c:numRef>
              <c:f>'Figura 2'!$B$21:$B$26</c:f>
              <c:numCache>
                <c:formatCode>General</c:formatCode>
                <c:ptCount val="6"/>
                <c:pt idx="0">
                  <c:v>65.599999999999994</c:v>
                </c:pt>
                <c:pt idx="1">
                  <c:v>91.4</c:v>
                </c:pt>
                <c:pt idx="2">
                  <c:v>84.4</c:v>
                </c:pt>
                <c:pt idx="3">
                  <c:v>76.599999999999994</c:v>
                </c:pt>
                <c:pt idx="4">
                  <c:v>71.599999999999994</c:v>
                </c:pt>
                <c:pt idx="5" formatCode="0.0">
                  <c:v>51</c:v>
                </c:pt>
              </c:numCache>
            </c:numRef>
          </c:val>
          <c:extLst>
            <c:ext xmlns:c15="http://schemas.microsoft.com/office/drawing/2012/chart" uri="{02D57815-91ED-43cb-92C2-25804820EDAC}">
              <c15:datalabelsRange>
                <c15:f>'Figura 2'!$B$21:$B$26</c15:f>
                <c15:dlblRangeCache>
                  <c:ptCount val="6"/>
                  <c:pt idx="0">
                    <c:v>65,6</c:v>
                  </c:pt>
                  <c:pt idx="1">
                    <c:v>91,4</c:v>
                  </c:pt>
                  <c:pt idx="2">
                    <c:v>84,4</c:v>
                  </c:pt>
                  <c:pt idx="3">
                    <c:v>76,6</c:v>
                  </c:pt>
                  <c:pt idx="4">
                    <c:v>71,6</c:v>
                  </c:pt>
                  <c:pt idx="5">
                    <c:v>51,0</c:v>
                  </c:pt>
                </c15:dlblRangeCache>
              </c15:datalabelsRange>
            </c:ext>
            <c:ext xmlns:c16="http://schemas.microsoft.com/office/drawing/2014/chart" uri="{C3380CC4-5D6E-409C-BE32-E72D297353CC}">
              <c16:uniqueId val="{00000006-2E3D-4BC7-B441-0031FF1F5B07}"/>
            </c:ext>
          </c:extLst>
        </c:ser>
        <c:dLbls>
          <c:showLegendKey val="0"/>
          <c:showVal val="0"/>
          <c:showCatName val="0"/>
          <c:showSerName val="0"/>
          <c:showPercent val="0"/>
          <c:showBubbleSize val="0"/>
        </c:dLbls>
        <c:gapWidth val="219"/>
        <c:overlap val="-27"/>
        <c:axId val="279061776"/>
        <c:axId val="279058248"/>
      </c:barChart>
      <c:catAx>
        <c:axId val="279061776"/>
        <c:scaling>
          <c:orientation val="minMax"/>
        </c:scaling>
        <c:delete val="0"/>
        <c:axPos val="b"/>
        <c:numFmt formatCode="General"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9058248"/>
        <c:crosses val="autoZero"/>
        <c:auto val="1"/>
        <c:lblAlgn val="ctr"/>
        <c:lblOffset val="100"/>
        <c:noMultiLvlLbl val="0"/>
      </c:catAx>
      <c:valAx>
        <c:axId val="279058248"/>
        <c:scaling>
          <c:orientation val="minMax"/>
          <c:max val="100"/>
        </c:scaling>
        <c:delete val="0"/>
        <c:axPos val="l"/>
        <c:numFmt formatCode="0%" sourceLinked="0"/>
        <c:majorTickMark val="out"/>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79061776"/>
        <c:crosses val="autoZero"/>
        <c:crossBetween val="between"/>
        <c:majorUnit val="20"/>
        <c:dispUnits>
          <c:builtInUnit val="hundred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BA6B-D843-4DCA-9162-26310C42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68</Pages>
  <Words>26402</Words>
  <Characters>150497</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dc:creator>
  <cp:keywords/>
  <dc:description/>
  <cp:lastModifiedBy>Татьяна Дончева</cp:lastModifiedBy>
  <cp:revision>6</cp:revision>
  <cp:lastPrinted>2026-04-22T13:33:00Z</cp:lastPrinted>
  <dcterms:created xsi:type="dcterms:W3CDTF">2026-04-23T13:54:00Z</dcterms:created>
  <dcterms:modified xsi:type="dcterms:W3CDTF">2026-04-24T10:48:00Z</dcterms:modified>
</cp:coreProperties>
</file>